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95" w:rsidRPr="00497195" w:rsidRDefault="00497195" w:rsidP="00497195">
      <w:pPr>
        <w:pStyle w:val="Pa2"/>
        <w:pageBreakBefore/>
        <w:spacing w:after="40"/>
        <w:jc w:val="center"/>
        <w:rPr>
          <w:rFonts w:ascii="Arial" w:hAnsi="Arial" w:cs="Arial"/>
          <w:noProof/>
          <w:sz w:val="18"/>
          <w:szCs w:val="18"/>
        </w:rPr>
      </w:pPr>
      <w:r w:rsidRPr="00497195">
        <w:rPr>
          <w:rFonts w:ascii="Arial" w:hAnsi="Arial" w:cs="Arial"/>
          <w:b/>
          <w:bCs/>
          <w:noProof/>
          <w:sz w:val="18"/>
          <w:szCs w:val="18"/>
        </w:rPr>
        <w:t>YATIRIM HİZM</w:t>
      </w:r>
      <w:bookmarkStart w:id="0" w:name="_GoBack"/>
      <w:bookmarkEnd w:id="0"/>
      <w:r w:rsidRPr="00497195">
        <w:rPr>
          <w:rFonts w:ascii="Arial" w:hAnsi="Arial" w:cs="Arial"/>
          <w:b/>
          <w:bCs/>
          <w:noProof/>
          <w:sz w:val="18"/>
          <w:szCs w:val="18"/>
        </w:rPr>
        <w:t>ET VE FAALİYETLERİ GENEL RİSK BİLDİRİM FORMU</w:t>
      </w:r>
    </w:p>
    <w:p w:rsidR="00497195" w:rsidRPr="00497195" w:rsidRDefault="00497195" w:rsidP="00497195">
      <w:pPr>
        <w:pStyle w:val="Default"/>
        <w:spacing w:after="40" w:line="241" w:lineRule="atLeast"/>
        <w:jc w:val="both"/>
        <w:rPr>
          <w:rStyle w:val="A5"/>
          <w:rFonts w:ascii="Arial" w:hAnsi="Arial" w:cs="Arial"/>
          <w:b/>
          <w:bCs/>
          <w:noProof/>
          <w:color w:val="auto"/>
          <w:sz w:val="18"/>
          <w:szCs w:val="18"/>
        </w:rPr>
      </w:pPr>
    </w:p>
    <w:p w:rsidR="00497195" w:rsidRPr="00063137" w:rsidRDefault="00497195" w:rsidP="00497195">
      <w:pPr>
        <w:pStyle w:val="Default"/>
        <w:spacing w:after="40" w:line="241" w:lineRule="atLeast"/>
        <w:jc w:val="both"/>
        <w:rPr>
          <w:rFonts w:ascii="Arial" w:hAnsi="Arial" w:cs="Arial"/>
          <w:noProof/>
          <w:color w:val="auto"/>
          <w:sz w:val="20"/>
          <w:szCs w:val="20"/>
        </w:rPr>
      </w:pPr>
      <w:r w:rsidRPr="00063137">
        <w:rPr>
          <w:rStyle w:val="A5"/>
          <w:rFonts w:ascii="Arial" w:hAnsi="Arial" w:cs="Arial"/>
          <w:b/>
          <w:bCs/>
          <w:noProof/>
          <w:color w:val="auto"/>
        </w:rPr>
        <w:t xml:space="preserve">Önemli Açıklama </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Sermaye piyasalarında yapacağınız işlemler sonucunda kâr elde edebileceğiniz gibi zarar riskiniz de bulunmaktadır. Bu nedenle, işlem yapmaya karar vermeden önce, piyasada karşılaşabileceğiniz riskleri anlamanız, mali durumunuzu ve kısıtlarınızı dikkate alarak karar vermeniz gerekmektedir. Bu amaçla, III-39.1 sayılı “Yatırım Kuruluşlarının Kuruluş ve Faaliyet Esasları Hakkında Tebliğ”in 25’inci maddesinde öngörüldüğü üzere “Yatırım Hizmet ve Faaliyetleri Genel Risk Bildirim Formu”nda yer alan aşağıdaki hususları anlamanız gerekmektedir.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b/>
          <w:bCs/>
          <w:noProof/>
        </w:rPr>
        <w:t>Uyarı</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İşlem yapmaya başlamadan önce çalışmayı düşündüğünüz kuruluşun yapmak istediğiniz sermaye piyasası işlemlerine ilişkin yetkisi olup olmadığını kontrol ediniz. Sermaye piyasası işlemleri konusunda yetkili olan banka ve sermaye piyasası aracı</w:t>
      </w:r>
      <w:r w:rsidR="005F0C09" w:rsidRPr="00063137">
        <w:rPr>
          <w:rStyle w:val="A5"/>
          <w:rFonts w:ascii="Arial" w:hAnsi="Arial" w:cs="Arial"/>
          <w:noProof/>
        </w:rPr>
        <w:t xml:space="preserve"> </w:t>
      </w:r>
      <w:r w:rsidRPr="00063137">
        <w:rPr>
          <w:rStyle w:val="A5"/>
          <w:rFonts w:ascii="Arial" w:hAnsi="Arial" w:cs="Arial"/>
          <w:noProof/>
        </w:rPr>
        <w:t>kurumlarını www.spk.gov.tr veya www.tspakb.org.tr web sitelerinden öğrenebilirsiniz.</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b/>
          <w:bCs/>
          <w:noProof/>
        </w:rPr>
        <w:t>Risk Bildirimi</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İşlem yapacağınız yatırım kuruluşu ile imzalanacak “Çerçeve Sözleşme”de belirtilen hususlara ek olarak, aşağıdaki hususları anlamanız çok önemlidir.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1. Yatırım kuruluşu nezdinde açtıracağınız hesap ve bu hesap üzerinden gerçekleştirilecek tüm işlemler için Sermaye Piyasası Kurulu, borsalar ve takas merkezleri tarafından çıkartılan ilgili her türlü mevzuat ve benzeri tüm idari düzenleme hükümleri uygulanacaktır.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2. Sermaye piyasası işlemleri çeşitli oranlarda risklere tabidir. Piyasada oluşacak fiyat hareketleri sonucunda yatırım kuruluşuna yatırdığınız paranın tümünü kaybedebileceğiniz gibi kayıplarınız yapacağınız işlemin türüne göre yatırdığınız para tutarını dahi aşabilecektir.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3. Kredili işlem veya açığa satış gibi işlemlerde kaldıraç etkisi nedeniyle, düşük özkaynakla işlem yapmanın piyasada lehe çalışabileceği gibi aleyhe de çalışabileceği ve bu anlamda kaldıraç etkisinin tarafınıza yüksek kazançlar sağlayabileceği gibi zararlara da yol açabileceği ihtimali göz önünde bulundurulmalıdır.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4. Yatırım kuruluşunun piyasalarda yapacağınız işlemlere ilişkin tarafınıza aktaracağı bilgiler ve yapacağı tavsiyelerin eksik ve doğrulanmaya muhtaç olabileceği tarafınızca dikkate alınmalıdır.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5. Sermaye piyasası</w:t>
      </w:r>
      <w:r w:rsidR="005F0C09" w:rsidRPr="00063137">
        <w:rPr>
          <w:rStyle w:val="A5"/>
          <w:rFonts w:ascii="Arial" w:hAnsi="Arial" w:cs="Arial"/>
          <w:noProof/>
        </w:rPr>
        <w:t xml:space="preserve"> </w:t>
      </w:r>
      <w:r w:rsidRPr="00063137">
        <w:rPr>
          <w:rStyle w:val="A5"/>
          <w:rFonts w:ascii="Arial" w:hAnsi="Arial" w:cs="Arial"/>
          <w:noProof/>
        </w:rPr>
        <w:t>araçlarının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6. Yabancı para cinsinden yapılan işlemlerde, yukarıda sayılan risklere ek olarak kur riskinin olduğunu, kur dalgalanmaları nedeniyle Türk Lirası bazında değer kaybı</w:t>
      </w:r>
      <w:r w:rsidR="005F0C09" w:rsidRPr="00063137">
        <w:rPr>
          <w:rStyle w:val="A5"/>
          <w:rFonts w:ascii="Arial" w:hAnsi="Arial" w:cs="Arial"/>
          <w:noProof/>
        </w:rPr>
        <w:t xml:space="preserve"> </w:t>
      </w:r>
      <w:r w:rsidRPr="00063137">
        <w:rPr>
          <w:rStyle w:val="A5"/>
          <w:rFonts w:ascii="Arial" w:hAnsi="Arial" w:cs="Arial"/>
          <w:noProof/>
        </w:rPr>
        <w:t>olabileceği, devletlerin yabancı sermaye ve döviz hareketlerini kısıtlayabileceği, ek ve/veya yeni vergiler getirebileceği, alım satım işlemlerinin zamanında gerçekleşmeyebileceği bilinmelidir.</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7. 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İşbu sermaye piyasası işlemleri risk bildirim formu, müşteriyi genel olarak mevcut riskler hakkında bilgilendirmeyi amaçlamakta olup, sermaye piyasası araçlarının alım satımından ve uygulamadan kaynaklanabilecek tüm riskleri kapsamayabilir. Dolayısıyla tasarruflarınızı bu tip yatırımlara yönlendirmeden önce dikkatli bir şekilde araştırma yapmalısınız.</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Yukarıdaki tüm hususları okuyup, anladığımı; işbu esasların uygulanması sırasında Banka’nın kusuru veya ihmali nedeniyle doğabilecek zararlarımı talep ve dava haklarım saklı kalmak kaydıyla özgür iradem sonucu bu “Yatırım Hizmet ve Faaliyetleri Genel Risk Bildirim Formu’nu imzaladığımı ve bundan sonra Sözleşme’yi imzalayarak Form’un bir örneğini aldığımı kabul ve beyan ederim.</w:t>
      </w:r>
    </w:p>
    <w:p w:rsidR="00497195" w:rsidRPr="00063137" w:rsidRDefault="00497195" w:rsidP="00497195">
      <w:pPr>
        <w:pStyle w:val="Pa3"/>
        <w:spacing w:after="40"/>
        <w:jc w:val="both"/>
        <w:rPr>
          <w:rStyle w:val="A5"/>
          <w:rFonts w:ascii="Arial" w:hAnsi="Arial" w:cs="Arial"/>
          <w:noProof/>
        </w:rPr>
      </w:pPr>
      <w:r w:rsidRPr="00063137">
        <w:rPr>
          <w:rStyle w:val="A5"/>
          <w:rFonts w:ascii="Arial" w:hAnsi="Arial" w:cs="Arial"/>
          <w:noProof/>
        </w:rPr>
        <w:t>Okudum ve Anladım.</w:t>
      </w:r>
    </w:p>
    <w:p w:rsidR="00497195" w:rsidRPr="00063137" w:rsidRDefault="00497195" w:rsidP="00497195">
      <w:pPr>
        <w:pStyle w:val="Default"/>
        <w:rPr>
          <w:rFonts w:ascii="Arial" w:hAnsi="Arial" w:cs="Arial"/>
          <w:noProof/>
          <w:sz w:val="20"/>
          <w:szCs w:val="20"/>
        </w:rPr>
      </w:pP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Tarih: ... / ... / ............</w:t>
      </w:r>
    </w:p>
    <w:p w:rsidR="00497195" w:rsidRPr="00063137" w:rsidRDefault="00497195" w:rsidP="00497195">
      <w:pPr>
        <w:pStyle w:val="Pa3"/>
        <w:spacing w:after="40"/>
        <w:jc w:val="both"/>
        <w:rPr>
          <w:rStyle w:val="A5"/>
          <w:rFonts w:ascii="Arial" w:hAnsi="Arial" w:cs="Arial"/>
          <w:noProof/>
        </w:rPr>
      </w:pPr>
      <w:r w:rsidRPr="00063137">
        <w:rPr>
          <w:rStyle w:val="A5"/>
          <w:rFonts w:ascii="Arial" w:hAnsi="Arial" w:cs="Arial"/>
          <w:noProof/>
        </w:rPr>
        <w:t>Hesap Sahibinin / Sahiplerinin;</w:t>
      </w:r>
    </w:p>
    <w:p w:rsidR="00497195" w:rsidRPr="00063137" w:rsidRDefault="00497195" w:rsidP="00497195">
      <w:pPr>
        <w:pStyle w:val="Pa3"/>
        <w:spacing w:after="40"/>
        <w:jc w:val="both"/>
        <w:rPr>
          <w:rFonts w:ascii="Arial" w:hAnsi="Arial" w:cs="Arial"/>
          <w:noProof/>
          <w:sz w:val="20"/>
          <w:szCs w:val="20"/>
        </w:rPr>
      </w:pPr>
      <w:r w:rsidRPr="00063137">
        <w:rPr>
          <w:rStyle w:val="A5"/>
          <w:rFonts w:ascii="Arial" w:hAnsi="Arial" w:cs="Arial"/>
          <w:noProof/>
        </w:rPr>
        <w:t xml:space="preserve">Adı, Soyadı / Şirket Unvanı Adı, Soyadı / Şirket Unvanı </w:t>
      </w:r>
    </w:p>
    <w:p w:rsidR="00497195" w:rsidRPr="00063137" w:rsidRDefault="00497195" w:rsidP="00497195">
      <w:pPr>
        <w:pStyle w:val="Pa3"/>
        <w:spacing w:after="40"/>
        <w:jc w:val="both"/>
        <w:rPr>
          <w:rStyle w:val="A5"/>
          <w:rFonts w:ascii="Arial" w:hAnsi="Arial" w:cs="Arial"/>
          <w:noProof/>
        </w:rPr>
      </w:pPr>
      <w:r w:rsidRPr="00063137">
        <w:rPr>
          <w:rStyle w:val="A5"/>
          <w:rFonts w:ascii="Arial" w:hAnsi="Arial" w:cs="Arial"/>
          <w:noProof/>
        </w:rPr>
        <w:t xml:space="preserve">............................................... .............................................     </w:t>
      </w:r>
    </w:p>
    <w:p w:rsidR="00497195" w:rsidRPr="00063137" w:rsidRDefault="00497195" w:rsidP="005F0C09">
      <w:pPr>
        <w:pStyle w:val="Pa3"/>
        <w:spacing w:after="40"/>
        <w:jc w:val="both"/>
        <w:rPr>
          <w:rFonts w:ascii="Arial" w:hAnsi="Arial" w:cs="Arial"/>
          <w:noProof/>
          <w:sz w:val="20"/>
          <w:szCs w:val="20"/>
        </w:rPr>
      </w:pPr>
      <w:r w:rsidRPr="00063137">
        <w:rPr>
          <w:rStyle w:val="A5"/>
          <w:rFonts w:ascii="Arial" w:hAnsi="Arial" w:cs="Arial"/>
          <w:noProof/>
        </w:rPr>
        <w:t xml:space="preserve">  İmza/Şir</w:t>
      </w:r>
      <w:r w:rsidR="005F0C09" w:rsidRPr="00063137">
        <w:rPr>
          <w:rStyle w:val="A5"/>
          <w:rFonts w:ascii="Arial" w:hAnsi="Arial" w:cs="Arial"/>
          <w:noProof/>
        </w:rPr>
        <w:t>ket Kaşesi: İmza/Şirket Kaşesi:</w:t>
      </w:r>
    </w:p>
    <w:sectPr w:rsidR="00497195" w:rsidRPr="00063137" w:rsidSect="005F0C09">
      <w:headerReference w:type="default" r:id="rId6"/>
      <w:pgSz w:w="11906" w:h="16838"/>
      <w:pgMar w:top="12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09" w:rsidRDefault="005F0C09" w:rsidP="005F0C09">
      <w:pPr>
        <w:spacing w:after="0" w:line="240" w:lineRule="auto"/>
      </w:pPr>
      <w:r>
        <w:separator/>
      </w:r>
    </w:p>
  </w:endnote>
  <w:endnote w:type="continuationSeparator" w:id="0">
    <w:p w:rsidR="005F0C09" w:rsidRDefault="005F0C09" w:rsidP="005F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HelveticaNeueLT Pro 57 Cn">
    <w:altName w:val="HelveticaNeueLT Pro 57 Cn"/>
    <w:panose1 w:val="00000000000000000000"/>
    <w:charset w:val="A2"/>
    <w:family w:val="swiss"/>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09" w:rsidRDefault="005F0C09" w:rsidP="005F0C09">
      <w:pPr>
        <w:spacing w:after="0" w:line="240" w:lineRule="auto"/>
      </w:pPr>
      <w:r>
        <w:separator/>
      </w:r>
    </w:p>
  </w:footnote>
  <w:footnote w:type="continuationSeparator" w:id="0">
    <w:p w:rsidR="005F0C09" w:rsidRDefault="005F0C09" w:rsidP="005F0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09" w:rsidRPr="00063137" w:rsidRDefault="00FA4E6E">
    <w:pPr>
      <w:pStyle w:val="Header"/>
      <w:rPr>
        <w:rFonts w:ascii="Arial" w:hAnsi="Arial" w:cs="Arial"/>
        <w:b/>
        <w:sz w:val="20"/>
        <w:szCs w:val="20"/>
      </w:rPr>
    </w:pPr>
    <w:r w:rsidRPr="00FA4E6E">
      <w:rPr>
        <w:noProof/>
        <w:lang w:eastAsia="tr-TR"/>
      </w:rPr>
      <w:drawing>
        <wp:inline distT="0" distB="0" distL="0" distR="0">
          <wp:extent cx="1866900" cy="371475"/>
          <wp:effectExtent l="0" t="0" r="0" b="9525"/>
          <wp:docPr id="2" name="Picture 2" descr="X:\NERCİVAN\2017 Projeler\MARKA TEST\yeni logo\Onaylanan ve kullanılacak son logolar\Word_Logo_186x45 1608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NERCİVAN\2017 Projeler\MARKA TEST\yeni logo\Onaylanan ve kullanılacak son logolar\Word_Logo_186x45 1608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r w:rsidR="005F0C09">
      <w:t xml:space="preserve">    </w:t>
    </w:r>
    <w:r>
      <w:t xml:space="preserve">       </w:t>
    </w:r>
    <w:r w:rsidR="005F0C09">
      <w:t xml:space="preserve">                                 </w:t>
    </w:r>
    <w:r>
      <w:t xml:space="preserve">      </w:t>
    </w:r>
    <w:r w:rsidR="005F0C09">
      <w:t xml:space="preserve">                      </w:t>
    </w:r>
    <w:r>
      <w:t xml:space="preserve">            </w:t>
    </w:r>
    <w:r w:rsidR="005F0C09" w:rsidRPr="00063137">
      <w:rPr>
        <w:rFonts w:ascii="Arial" w:hAnsi="Arial" w:cs="Arial"/>
        <w:b/>
        <w:sz w:val="20"/>
        <w:szCs w:val="20"/>
      </w:rPr>
      <w:t>CH-145-00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95"/>
    <w:rsid w:val="00063137"/>
    <w:rsid w:val="00497195"/>
    <w:rsid w:val="005F0C09"/>
    <w:rsid w:val="00AF642F"/>
    <w:rsid w:val="00FA4E6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53F49FF-19BA-4A95-B422-A8109911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195"/>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1">
    <w:name w:val="Pa1"/>
    <w:basedOn w:val="Default"/>
    <w:next w:val="Default"/>
    <w:uiPriority w:val="99"/>
    <w:rsid w:val="00497195"/>
    <w:pPr>
      <w:spacing w:line="241" w:lineRule="atLeast"/>
    </w:pPr>
    <w:rPr>
      <w:rFonts w:cstheme="minorBidi"/>
      <w:color w:val="auto"/>
    </w:rPr>
  </w:style>
  <w:style w:type="paragraph" w:customStyle="1" w:styleId="Pa2">
    <w:name w:val="Pa2"/>
    <w:basedOn w:val="Default"/>
    <w:next w:val="Default"/>
    <w:uiPriority w:val="99"/>
    <w:rsid w:val="00497195"/>
    <w:pPr>
      <w:spacing w:line="241" w:lineRule="atLeast"/>
    </w:pPr>
    <w:rPr>
      <w:rFonts w:cstheme="minorBidi"/>
      <w:color w:val="auto"/>
    </w:rPr>
  </w:style>
  <w:style w:type="paragraph" w:customStyle="1" w:styleId="Pa3">
    <w:name w:val="Pa3"/>
    <w:basedOn w:val="Default"/>
    <w:next w:val="Default"/>
    <w:uiPriority w:val="99"/>
    <w:rsid w:val="00497195"/>
    <w:pPr>
      <w:spacing w:line="241" w:lineRule="atLeast"/>
    </w:pPr>
    <w:rPr>
      <w:rFonts w:cstheme="minorBidi"/>
      <w:color w:val="auto"/>
    </w:rPr>
  </w:style>
  <w:style w:type="character" w:customStyle="1" w:styleId="A5">
    <w:name w:val="A5"/>
    <w:uiPriority w:val="99"/>
    <w:rsid w:val="00497195"/>
    <w:rPr>
      <w:rFonts w:cs="HelveticaNeueLT Pro 57 Cn"/>
      <w:color w:val="000000"/>
      <w:sz w:val="20"/>
      <w:szCs w:val="20"/>
    </w:rPr>
  </w:style>
  <w:style w:type="paragraph" w:styleId="Header">
    <w:name w:val="header"/>
    <w:basedOn w:val="Normal"/>
    <w:link w:val="HeaderChar"/>
    <w:uiPriority w:val="99"/>
    <w:unhideWhenUsed/>
    <w:rsid w:val="005F0C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C09"/>
  </w:style>
  <w:style w:type="paragraph" w:styleId="Footer">
    <w:name w:val="footer"/>
    <w:basedOn w:val="Normal"/>
    <w:link w:val="FooterChar"/>
    <w:uiPriority w:val="99"/>
    <w:unhideWhenUsed/>
    <w:rsid w:val="005F0C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Alternatifbank AS.</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Nercivan Molla-Birim Müdürü/Organizasyon</cp:lastModifiedBy>
  <cp:revision>3</cp:revision>
  <dcterms:created xsi:type="dcterms:W3CDTF">2017-10-04T11:56:00Z</dcterms:created>
  <dcterms:modified xsi:type="dcterms:W3CDTF">2018-02-13T11:11:00Z</dcterms:modified>
</cp:coreProperties>
</file>