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708" w:rsidRDefault="00DD6708" w:rsidP="00DD6708">
      <w:pPr>
        <w:pStyle w:val="Style7"/>
        <w:widowControl/>
        <w:tabs>
          <w:tab w:val="left" w:pos="8647"/>
        </w:tabs>
        <w:ind w:right="-2"/>
        <w:rPr>
          <w:rStyle w:val="FontStyle27"/>
          <w:sz w:val="24"/>
          <w:szCs w:val="24"/>
          <w:lang w:eastAsia="tr-TR"/>
        </w:rPr>
      </w:pPr>
      <w:bookmarkStart w:id="0" w:name="_GoBack"/>
      <w:bookmarkEnd w:id="0"/>
    </w:p>
    <w:p w:rsidR="00DD6708" w:rsidRDefault="00DD6708" w:rsidP="00DD6708">
      <w:pPr>
        <w:pStyle w:val="Style7"/>
        <w:widowControl/>
        <w:tabs>
          <w:tab w:val="left" w:pos="8647"/>
        </w:tabs>
        <w:ind w:right="-2"/>
        <w:rPr>
          <w:rStyle w:val="FontStyle27"/>
          <w:sz w:val="24"/>
          <w:szCs w:val="24"/>
          <w:lang w:eastAsia="tr-TR"/>
        </w:rPr>
      </w:pPr>
      <w:r>
        <w:rPr>
          <w:rStyle w:val="FontStyle27"/>
          <w:sz w:val="24"/>
          <w:szCs w:val="24"/>
          <w:lang w:eastAsia="tr-TR"/>
        </w:rPr>
        <w:t xml:space="preserve">YURTDIŞI TÜREV ARAÇLAR RİSK </w:t>
      </w:r>
      <w:r w:rsidRPr="00DD6708">
        <w:rPr>
          <w:rStyle w:val="FontStyle27"/>
          <w:sz w:val="24"/>
          <w:szCs w:val="24"/>
          <w:lang w:eastAsia="tr-TR"/>
        </w:rPr>
        <w:t>BİLDİRİM FORMU</w:t>
      </w:r>
    </w:p>
    <w:p w:rsidR="00DD6708" w:rsidRDefault="00DD6708" w:rsidP="00DD6708">
      <w:pPr>
        <w:pStyle w:val="Style7"/>
        <w:widowControl/>
        <w:ind w:right="2784"/>
        <w:jc w:val="left"/>
        <w:rPr>
          <w:rStyle w:val="FontStyle27"/>
          <w:sz w:val="24"/>
          <w:szCs w:val="24"/>
          <w:lang w:eastAsia="tr-TR"/>
        </w:rPr>
      </w:pPr>
    </w:p>
    <w:p w:rsidR="00DD6708" w:rsidRDefault="00DD6708" w:rsidP="00E331C5">
      <w:pPr>
        <w:pStyle w:val="Style7"/>
        <w:widowControl/>
        <w:ind w:right="2784" w:firstLine="708"/>
        <w:jc w:val="left"/>
        <w:rPr>
          <w:rStyle w:val="FontStyle29"/>
          <w:sz w:val="24"/>
          <w:szCs w:val="24"/>
          <w:lang w:eastAsia="tr-TR"/>
        </w:rPr>
      </w:pPr>
      <w:r w:rsidRPr="00DD6708">
        <w:rPr>
          <w:rStyle w:val="FontStyle29"/>
          <w:sz w:val="24"/>
          <w:szCs w:val="24"/>
          <w:u w:val="single"/>
          <w:lang w:eastAsia="tr-TR"/>
        </w:rPr>
        <w:t>Önemli Açıklama</w:t>
      </w:r>
      <w:r>
        <w:rPr>
          <w:rStyle w:val="FontStyle29"/>
          <w:sz w:val="24"/>
          <w:szCs w:val="24"/>
          <w:lang w:eastAsia="tr-TR"/>
        </w:rPr>
        <w:t>:</w:t>
      </w:r>
    </w:p>
    <w:p w:rsidR="00DD6708" w:rsidRPr="00DD6708" w:rsidRDefault="00DD6708" w:rsidP="00DD6708">
      <w:pPr>
        <w:pStyle w:val="Style7"/>
        <w:widowControl/>
        <w:ind w:right="2784"/>
        <w:jc w:val="left"/>
        <w:rPr>
          <w:rStyle w:val="FontStyle29"/>
          <w:sz w:val="24"/>
          <w:szCs w:val="24"/>
          <w:lang w:eastAsia="tr-TR"/>
        </w:rPr>
      </w:pPr>
    </w:p>
    <w:p w:rsidR="00DD6708" w:rsidRDefault="00DD6708" w:rsidP="00DD6708">
      <w:pPr>
        <w:pStyle w:val="Style13"/>
        <w:widowControl/>
        <w:spacing w:line="240" w:lineRule="auto"/>
        <w:rPr>
          <w:rStyle w:val="FontStyle30"/>
          <w:sz w:val="24"/>
          <w:szCs w:val="24"/>
          <w:lang w:eastAsia="tr-TR"/>
        </w:rPr>
      </w:pPr>
      <w:r w:rsidRPr="00DD6708">
        <w:rPr>
          <w:rStyle w:val="FontStyle30"/>
          <w:sz w:val="24"/>
          <w:szCs w:val="24"/>
          <w:lang w:eastAsia="tr-TR"/>
        </w:rPr>
        <w:t>Yurt dışı vadeli işlem ve opsiyon borsaları ya da teşkilatlanmış diğer piyasalar nezdinde yapacağınız a</w:t>
      </w:r>
      <w:r>
        <w:rPr>
          <w:rStyle w:val="FontStyle30"/>
          <w:sz w:val="24"/>
          <w:szCs w:val="24"/>
          <w:lang w:eastAsia="tr-TR"/>
        </w:rPr>
        <w:t>lım satım işlemleri sonucunda kâ</w:t>
      </w:r>
      <w:r w:rsidRPr="00DD6708">
        <w:rPr>
          <w:rStyle w:val="FontStyle30"/>
          <w:sz w:val="24"/>
          <w:szCs w:val="24"/>
          <w:lang w:eastAsia="tr-TR"/>
        </w:rPr>
        <w:t>r elde edebileceğiniz gibi zarar riskiniz de bulunmaktadır. Bu nedenle, yurt dışı vadeli işlem ve opsiyon borsaları, ya da teşkilatlanmış diğer piyasalarda işlem yapmaya karar vermeden önce, piyasada karşılaşabileceğiniz riskleri anlamanız, mali durumunuzu ve kısıtlarınızı dikkate alarak karar vermeniz gerekmektedir.</w:t>
      </w:r>
    </w:p>
    <w:p w:rsidR="00DD6708" w:rsidRPr="00DD6708" w:rsidRDefault="00DD6708" w:rsidP="00DD6708">
      <w:pPr>
        <w:pStyle w:val="Style13"/>
        <w:widowControl/>
        <w:spacing w:line="240" w:lineRule="auto"/>
        <w:rPr>
          <w:rStyle w:val="FontStyle30"/>
          <w:sz w:val="24"/>
          <w:szCs w:val="24"/>
          <w:lang w:eastAsia="tr-TR"/>
        </w:rPr>
      </w:pPr>
    </w:p>
    <w:p w:rsidR="00DD6708" w:rsidRDefault="00DD6708" w:rsidP="00DD6708">
      <w:pPr>
        <w:pStyle w:val="Style13"/>
        <w:widowControl/>
        <w:spacing w:line="240" w:lineRule="auto"/>
        <w:rPr>
          <w:rStyle w:val="FontStyle30"/>
          <w:sz w:val="24"/>
          <w:szCs w:val="24"/>
          <w:lang w:eastAsia="tr-TR"/>
        </w:rPr>
      </w:pPr>
      <w:r>
        <w:rPr>
          <w:rStyle w:val="FontStyle30"/>
          <w:sz w:val="24"/>
          <w:szCs w:val="24"/>
          <w:lang w:eastAsia="tr-TR"/>
        </w:rPr>
        <w:t>Bu amaçla, III-39.1 sayılı “</w:t>
      </w:r>
      <w:r w:rsidRPr="00DD6708">
        <w:rPr>
          <w:rStyle w:val="FontStyle30"/>
          <w:sz w:val="24"/>
          <w:szCs w:val="24"/>
          <w:lang w:eastAsia="tr-TR"/>
        </w:rPr>
        <w:t>Yatırım Kuruluşlarının Kuruluş ve Fa</w:t>
      </w:r>
      <w:r>
        <w:rPr>
          <w:rStyle w:val="FontStyle30"/>
          <w:sz w:val="24"/>
          <w:szCs w:val="24"/>
          <w:lang w:eastAsia="tr-TR"/>
        </w:rPr>
        <w:t>aliyet Esasları Hakkında Tebliğ”</w:t>
      </w:r>
      <w:r w:rsidRPr="00DD6708">
        <w:rPr>
          <w:rStyle w:val="FontStyle30"/>
          <w:sz w:val="24"/>
          <w:szCs w:val="24"/>
          <w:lang w:eastAsia="tr-TR"/>
        </w:rPr>
        <w:t>in 25 inci maddesinde öngörüldüğü üzere, Yatırım Hizmet ve Faaliyetleri genel</w:t>
      </w:r>
      <w:r>
        <w:rPr>
          <w:rStyle w:val="FontStyle30"/>
          <w:sz w:val="24"/>
          <w:szCs w:val="24"/>
          <w:lang w:eastAsia="tr-TR"/>
        </w:rPr>
        <w:t xml:space="preserve"> risk bildirimine ek olan işbu “</w:t>
      </w:r>
      <w:r w:rsidRPr="00DD6708">
        <w:rPr>
          <w:rStyle w:val="FontStyle30"/>
          <w:sz w:val="24"/>
          <w:szCs w:val="24"/>
          <w:lang w:eastAsia="tr-TR"/>
        </w:rPr>
        <w:t>Yurtdışı Tü</w:t>
      </w:r>
      <w:r>
        <w:rPr>
          <w:rStyle w:val="FontStyle30"/>
          <w:sz w:val="24"/>
          <w:szCs w:val="24"/>
          <w:lang w:eastAsia="tr-TR"/>
        </w:rPr>
        <w:t>rev Araçlar Risk Bildirim Formu”</w:t>
      </w:r>
      <w:r w:rsidRPr="00DD6708">
        <w:rPr>
          <w:rStyle w:val="FontStyle30"/>
          <w:sz w:val="24"/>
          <w:szCs w:val="24"/>
          <w:lang w:eastAsia="tr-TR"/>
        </w:rPr>
        <w:t>nda yer alan aşağıdaki hususları anlamanız gerekmektedir.</w:t>
      </w:r>
    </w:p>
    <w:p w:rsidR="00DD6708" w:rsidRPr="00DD6708" w:rsidRDefault="00DD6708" w:rsidP="00DD6708">
      <w:pPr>
        <w:pStyle w:val="Style13"/>
        <w:widowControl/>
        <w:spacing w:line="240" w:lineRule="auto"/>
        <w:rPr>
          <w:rStyle w:val="FontStyle30"/>
          <w:sz w:val="24"/>
          <w:szCs w:val="24"/>
          <w:lang w:eastAsia="tr-TR"/>
        </w:rPr>
      </w:pPr>
    </w:p>
    <w:p w:rsidR="00DD6708" w:rsidRPr="00E331C5" w:rsidRDefault="00E331C5" w:rsidP="00E331C5">
      <w:pPr>
        <w:pStyle w:val="Style15"/>
        <w:widowControl/>
        <w:spacing w:line="240" w:lineRule="auto"/>
        <w:ind w:right="5" w:firstLine="708"/>
        <w:jc w:val="left"/>
        <w:rPr>
          <w:rStyle w:val="FontStyle29"/>
          <w:sz w:val="24"/>
          <w:szCs w:val="24"/>
          <w:u w:val="single"/>
          <w:lang w:eastAsia="tr-TR"/>
        </w:rPr>
      </w:pPr>
      <w:r w:rsidRPr="00E331C5">
        <w:rPr>
          <w:rStyle w:val="FontStyle29"/>
          <w:sz w:val="24"/>
          <w:szCs w:val="24"/>
          <w:u w:val="single"/>
          <w:lang w:eastAsia="tr-TR"/>
        </w:rPr>
        <w:t>Uyarı:</w:t>
      </w:r>
    </w:p>
    <w:p w:rsidR="00E331C5" w:rsidRDefault="00E331C5" w:rsidP="00DD6708">
      <w:pPr>
        <w:pStyle w:val="Style15"/>
        <w:widowControl/>
        <w:spacing w:line="240" w:lineRule="auto"/>
        <w:ind w:right="10"/>
        <w:rPr>
          <w:rStyle w:val="FontStyle29"/>
          <w:sz w:val="24"/>
          <w:szCs w:val="24"/>
          <w:lang w:eastAsia="tr-TR"/>
        </w:rPr>
      </w:pPr>
    </w:p>
    <w:p w:rsidR="00DD6708" w:rsidRDefault="00DD6708" w:rsidP="00DD6708">
      <w:pPr>
        <w:pStyle w:val="Style15"/>
        <w:widowControl/>
        <w:spacing w:line="240" w:lineRule="auto"/>
        <w:ind w:right="10"/>
        <w:rPr>
          <w:rStyle w:val="FontStyle29"/>
          <w:sz w:val="24"/>
          <w:szCs w:val="24"/>
          <w:lang w:eastAsia="tr-TR"/>
        </w:rPr>
      </w:pPr>
      <w:r w:rsidRPr="00DD6708">
        <w:rPr>
          <w:rStyle w:val="FontStyle29"/>
          <w:sz w:val="24"/>
          <w:szCs w:val="24"/>
          <w:lang w:eastAsia="tr-TR"/>
        </w:rPr>
        <w:t>İşlem yapmaya başlamadan önce çalışmayı düşündüğünüz kuruluşun, yurt dışı türev araçların alım satımına aracılık yetkisinin olup olmadığını, kuruluşun resmi internet sitesinden kontrol ediniz.</w:t>
      </w:r>
    </w:p>
    <w:p w:rsidR="00E331C5" w:rsidRPr="00DD6708" w:rsidRDefault="00E331C5" w:rsidP="00DD6708">
      <w:pPr>
        <w:pStyle w:val="Style15"/>
        <w:widowControl/>
        <w:spacing w:line="240" w:lineRule="auto"/>
        <w:ind w:right="10"/>
        <w:rPr>
          <w:rStyle w:val="FontStyle29"/>
          <w:sz w:val="24"/>
          <w:szCs w:val="24"/>
          <w:lang w:eastAsia="tr-TR"/>
        </w:rPr>
      </w:pPr>
    </w:p>
    <w:p w:rsidR="00DD6708" w:rsidRPr="00DD6708" w:rsidRDefault="00DD6708" w:rsidP="00DD6708">
      <w:pPr>
        <w:pStyle w:val="Style15"/>
        <w:widowControl/>
        <w:spacing w:line="240" w:lineRule="auto"/>
        <w:ind w:right="5"/>
        <w:jc w:val="center"/>
        <w:rPr>
          <w:rStyle w:val="FontStyle29"/>
          <w:sz w:val="24"/>
          <w:szCs w:val="24"/>
          <w:lang w:eastAsia="tr-TR"/>
        </w:rPr>
      </w:pPr>
      <w:r w:rsidRPr="00DD6708">
        <w:rPr>
          <w:rStyle w:val="FontStyle29"/>
          <w:sz w:val="24"/>
          <w:szCs w:val="24"/>
          <w:lang w:eastAsia="tr-TR"/>
        </w:rPr>
        <w:t>RİSK BİLDİRİMİ</w:t>
      </w:r>
    </w:p>
    <w:p w:rsidR="00DD6708" w:rsidRPr="00DD6708" w:rsidRDefault="00DD6708" w:rsidP="00DD6708">
      <w:pPr>
        <w:pStyle w:val="Style13"/>
        <w:widowControl/>
        <w:spacing w:line="240" w:lineRule="auto"/>
      </w:pPr>
    </w:p>
    <w:p w:rsidR="00DD6708" w:rsidRDefault="00E331C5" w:rsidP="00DD6708">
      <w:pPr>
        <w:pStyle w:val="Style13"/>
        <w:widowControl/>
        <w:spacing w:line="240" w:lineRule="auto"/>
        <w:rPr>
          <w:rStyle w:val="FontStyle30"/>
          <w:sz w:val="24"/>
          <w:szCs w:val="24"/>
          <w:lang w:eastAsia="tr-TR"/>
        </w:rPr>
      </w:pPr>
      <w:r>
        <w:rPr>
          <w:rStyle w:val="FontStyle30"/>
          <w:sz w:val="24"/>
          <w:szCs w:val="24"/>
          <w:lang w:eastAsia="tr-TR"/>
        </w:rPr>
        <w:t>Alternatifbank A.Ş.</w:t>
      </w:r>
      <w:r w:rsidR="00DD6708" w:rsidRPr="00DD6708">
        <w:rPr>
          <w:rStyle w:val="FontStyle30"/>
          <w:sz w:val="24"/>
          <w:szCs w:val="24"/>
          <w:lang w:eastAsia="tr-TR"/>
        </w:rPr>
        <w:t xml:space="preserve"> </w:t>
      </w:r>
      <w:r w:rsidR="00DD6708" w:rsidRPr="00DD6708">
        <w:rPr>
          <w:rStyle w:val="FontStyle29"/>
          <w:sz w:val="24"/>
          <w:szCs w:val="24"/>
          <w:lang w:eastAsia="tr-TR"/>
        </w:rPr>
        <w:t>(</w:t>
      </w:r>
      <w:r>
        <w:rPr>
          <w:rStyle w:val="FontStyle29"/>
          <w:sz w:val="24"/>
          <w:szCs w:val="24"/>
          <w:lang w:eastAsia="tr-TR"/>
        </w:rPr>
        <w:t>A</w:t>
      </w:r>
      <w:r w:rsidR="007F2604">
        <w:rPr>
          <w:rStyle w:val="FontStyle29"/>
          <w:sz w:val="24"/>
          <w:szCs w:val="24"/>
          <w:lang w:eastAsia="tr-TR"/>
        </w:rPr>
        <w:t>lternatif B</w:t>
      </w:r>
      <w:r>
        <w:rPr>
          <w:rStyle w:val="FontStyle29"/>
          <w:sz w:val="24"/>
          <w:szCs w:val="24"/>
          <w:lang w:eastAsia="tr-TR"/>
        </w:rPr>
        <w:t>ank</w:t>
      </w:r>
      <w:r w:rsidR="00DD6708" w:rsidRPr="00DD6708">
        <w:rPr>
          <w:rStyle w:val="FontStyle29"/>
          <w:sz w:val="24"/>
          <w:szCs w:val="24"/>
          <w:lang w:eastAsia="tr-TR"/>
        </w:rPr>
        <w:t xml:space="preserve">) </w:t>
      </w:r>
      <w:r w:rsidR="00DD6708" w:rsidRPr="00DD6708">
        <w:rPr>
          <w:rStyle w:val="FontStyle30"/>
          <w:sz w:val="24"/>
          <w:szCs w:val="24"/>
          <w:lang w:eastAsia="tr-TR"/>
        </w:rPr>
        <w:t>ile yurt dışı vadeli ve opsiyon sözleşmesi alım satım aracılığ</w:t>
      </w:r>
      <w:r>
        <w:rPr>
          <w:rStyle w:val="FontStyle30"/>
          <w:sz w:val="24"/>
          <w:szCs w:val="24"/>
          <w:lang w:eastAsia="tr-TR"/>
        </w:rPr>
        <w:t>ına ilişkin olarak imzalanacak “</w:t>
      </w:r>
      <w:r w:rsidR="00DD6708" w:rsidRPr="00DD6708">
        <w:rPr>
          <w:rStyle w:val="FontStyle30"/>
          <w:sz w:val="24"/>
          <w:szCs w:val="24"/>
          <w:lang w:eastAsia="tr-TR"/>
        </w:rPr>
        <w:t>Yurtdışı Türev Araçların Alım Satım</w:t>
      </w:r>
      <w:r>
        <w:rPr>
          <w:rStyle w:val="FontStyle30"/>
          <w:sz w:val="24"/>
          <w:szCs w:val="24"/>
          <w:lang w:eastAsia="tr-TR"/>
        </w:rPr>
        <w:t>ına Aracılık Çerçeve Sözleşmesi”</w:t>
      </w:r>
      <w:r w:rsidR="00DD6708" w:rsidRPr="00DD6708">
        <w:rPr>
          <w:rStyle w:val="FontStyle30"/>
          <w:sz w:val="24"/>
          <w:szCs w:val="24"/>
          <w:lang w:eastAsia="tr-TR"/>
        </w:rPr>
        <w:t>nde ve Genel Risk Bildirim Formu</w:t>
      </w:r>
      <w:r w:rsidR="00A164DB">
        <w:rPr>
          <w:rStyle w:val="FontStyle30"/>
          <w:sz w:val="24"/>
          <w:szCs w:val="24"/>
          <w:lang w:eastAsia="tr-TR"/>
        </w:rPr>
        <w:t>’</w:t>
      </w:r>
      <w:r w:rsidR="00DD6708" w:rsidRPr="00DD6708">
        <w:rPr>
          <w:rStyle w:val="FontStyle30"/>
          <w:sz w:val="24"/>
          <w:szCs w:val="24"/>
          <w:lang w:eastAsia="tr-TR"/>
        </w:rPr>
        <w:t>nda belirtilen hususlara ek olarak, aşağıdaki hususları anlamanız çok önemlidir.</w:t>
      </w:r>
    </w:p>
    <w:p w:rsidR="00E331C5" w:rsidRPr="00DD6708" w:rsidRDefault="00E331C5" w:rsidP="00DD6708">
      <w:pPr>
        <w:pStyle w:val="Style13"/>
        <w:widowControl/>
        <w:spacing w:line="240" w:lineRule="auto"/>
        <w:rPr>
          <w:rStyle w:val="FontStyle30"/>
          <w:sz w:val="24"/>
          <w:szCs w:val="24"/>
          <w:lang w:eastAsia="tr-TR"/>
        </w:rPr>
      </w:pPr>
    </w:p>
    <w:p w:rsidR="00DD6708" w:rsidRPr="00DD6708" w:rsidRDefault="007F2604" w:rsidP="00DD6708">
      <w:pPr>
        <w:pStyle w:val="Style20"/>
        <w:widowControl/>
        <w:numPr>
          <w:ilvl w:val="0"/>
          <w:numId w:val="1"/>
        </w:numPr>
        <w:tabs>
          <w:tab w:val="left" w:pos="360"/>
        </w:tabs>
        <w:spacing w:line="240" w:lineRule="auto"/>
        <w:ind w:left="360" w:right="10" w:hanging="360"/>
        <w:rPr>
          <w:rStyle w:val="FontStyle29"/>
          <w:sz w:val="24"/>
          <w:szCs w:val="24"/>
          <w:lang w:eastAsia="tr-TR"/>
        </w:rPr>
      </w:pPr>
      <w:r>
        <w:rPr>
          <w:rStyle w:val="FontStyle29"/>
          <w:b w:val="0"/>
          <w:sz w:val="24"/>
          <w:szCs w:val="24"/>
          <w:lang w:eastAsia="tr-TR"/>
        </w:rPr>
        <w:t>Alternatif Bank</w:t>
      </w:r>
      <w:r w:rsidR="00DD6708" w:rsidRPr="00E331C5">
        <w:rPr>
          <w:rStyle w:val="FontStyle29"/>
          <w:b w:val="0"/>
          <w:sz w:val="24"/>
          <w:szCs w:val="24"/>
          <w:lang w:eastAsia="tr-TR"/>
        </w:rPr>
        <w:t xml:space="preserve"> </w:t>
      </w:r>
      <w:r w:rsidR="00DD6708" w:rsidRPr="00DD6708">
        <w:rPr>
          <w:rStyle w:val="FontStyle30"/>
          <w:sz w:val="24"/>
          <w:szCs w:val="24"/>
          <w:lang w:eastAsia="tr-TR"/>
        </w:rPr>
        <w:t>nezdinde açtıracağınız hesap ve bu hesap üzerinden gerçekleştirilecek tüm işlemler için Sermaye Piyasası Kurulu, Borsa ve Takas Merkezi tarafından ihdas edilen ilgili her türlü mevzuat ve benzeri tüm idari düzenleme hükümleri uygulanacaktır.</w:t>
      </w:r>
    </w:p>
    <w:p w:rsidR="00DD6708" w:rsidRPr="00DD6708" w:rsidRDefault="00DD6708" w:rsidP="00DD6708">
      <w:pPr>
        <w:pStyle w:val="Style20"/>
        <w:widowControl/>
        <w:numPr>
          <w:ilvl w:val="0"/>
          <w:numId w:val="1"/>
        </w:numPr>
        <w:tabs>
          <w:tab w:val="left" w:pos="360"/>
        </w:tabs>
        <w:spacing w:line="240" w:lineRule="auto"/>
        <w:ind w:left="360" w:right="10" w:hanging="360"/>
        <w:rPr>
          <w:rStyle w:val="FontStyle29"/>
          <w:sz w:val="24"/>
          <w:szCs w:val="24"/>
          <w:lang w:eastAsia="tr-TR"/>
        </w:rPr>
      </w:pPr>
      <w:r w:rsidRPr="00DD6708">
        <w:rPr>
          <w:rStyle w:val="FontStyle30"/>
          <w:sz w:val="24"/>
          <w:szCs w:val="24"/>
          <w:lang w:eastAsia="tr-TR"/>
        </w:rPr>
        <w:t xml:space="preserve">Yurt içinde olduğu gibi yurtdışı piyasalarda da türev araçlar çeşitli oranlarda risklere tabidir. Piyasada oluşacak fiyat hareketleri sonucunda </w:t>
      </w:r>
      <w:r w:rsidR="007F2604">
        <w:rPr>
          <w:rStyle w:val="FontStyle29"/>
          <w:b w:val="0"/>
          <w:sz w:val="24"/>
          <w:szCs w:val="24"/>
          <w:lang w:eastAsia="tr-TR"/>
        </w:rPr>
        <w:t>Alternatif Bank</w:t>
      </w:r>
      <w:r w:rsidRPr="00DD6708">
        <w:rPr>
          <w:rStyle w:val="FontStyle29"/>
          <w:sz w:val="24"/>
          <w:szCs w:val="24"/>
          <w:lang w:eastAsia="tr-TR"/>
        </w:rPr>
        <w:t xml:space="preserve"> </w:t>
      </w:r>
      <w:r w:rsidRPr="00DD6708">
        <w:rPr>
          <w:rStyle w:val="FontStyle30"/>
          <w:sz w:val="24"/>
          <w:szCs w:val="24"/>
          <w:lang w:eastAsia="tr-TR"/>
        </w:rPr>
        <w:t>nezdindeki hesabınıza yatırdığınız teminatın tümünü kaybedebileceğiniz gibi, kayıplarınız toplam teminatınızı dahi aşabilecektir.</w:t>
      </w:r>
    </w:p>
    <w:p w:rsidR="00DD6708" w:rsidRPr="00DD6708" w:rsidRDefault="00DD6708" w:rsidP="00DD6708">
      <w:pPr>
        <w:pStyle w:val="Style20"/>
        <w:widowControl/>
        <w:numPr>
          <w:ilvl w:val="0"/>
          <w:numId w:val="1"/>
        </w:numPr>
        <w:tabs>
          <w:tab w:val="left" w:pos="360"/>
        </w:tabs>
        <w:spacing w:line="240" w:lineRule="auto"/>
        <w:ind w:left="360" w:right="10" w:hanging="360"/>
        <w:rPr>
          <w:rStyle w:val="FontStyle29"/>
          <w:sz w:val="24"/>
          <w:szCs w:val="24"/>
          <w:lang w:eastAsia="tr-TR"/>
        </w:rPr>
      </w:pPr>
      <w:r w:rsidRPr="00DD6708">
        <w:rPr>
          <w:rStyle w:val="FontStyle30"/>
          <w:sz w:val="24"/>
          <w:szCs w:val="24"/>
          <w:lang w:eastAsia="tr-TR"/>
        </w:rPr>
        <w:t xml:space="preserve">Yurtdışı türev araçlarda pozisyon almak üzere </w:t>
      </w:r>
      <w:r w:rsidR="007F2604">
        <w:rPr>
          <w:rStyle w:val="FontStyle29"/>
          <w:b w:val="0"/>
          <w:sz w:val="24"/>
          <w:szCs w:val="24"/>
          <w:lang w:eastAsia="tr-TR"/>
        </w:rPr>
        <w:t>Alternatif Bank</w:t>
      </w:r>
      <w:r w:rsidRPr="002B2EC9">
        <w:rPr>
          <w:rStyle w:val="FontStyle29"/>
          <w:b w:val="0"/>
          <w:sz w:val="24"/>
          <w:szCs w:val="24"/>
          <w:lang w:eastAsia="tr-TR"/>
        </w:rPr>
        <w:t xml:space="preserve"> </w:t>
      </w:r>
      <w:r w:rsidRPr="00DD6708">
        <w:rPr>
          <w:rStyle w:val="FontStyle30"/>
          <w:sz w:val="24"/>
          <w:szCs w:val="24"/>
          <w:lang w:eastAsia="tr-TR"/>
        </w:rPr>
        <w:t xml:space="preserve">nezdinde açtıracağınız hesabınızdan alım-satım işleminde bulunacağınız her vadeli işlem (futures) sözleşmesi için, en az </w:t>
      </w:r>
      <w:r w:rsidR="007F2604">
        <w:rPr>
          <w:rStyle w:val="FontStyle29"/>
          <w:b w:val="0"/>
          <w:sz w:val="24"/>
          <w:szCs w:val="24"/>
          <w:lang w:eastAsia="tr-TR"/>
        </w:rPr>
        <w:t>Alternatif Bank</w:t>
      </w:r>
      <w:r w:rsidR="002B2EC9" w:rsidRPr="002B2EC9">
        <w:rPr>
          <w:rStyle w:val="FontStyle29"/>
          <w:b w:val="0"/>
          <w:sz w:val="24"/>
          <w:szCs w:val="24"/>
          <w:lang w:eastAsia="tr-TR"/>
        </w:rPr>
        <w:t>’ın</w:t>
      </w:r>
      <w:r w:rsidRPr="00DD6708">
        <w:rPr>
          <w:rStyle w:val="FontStyle30"/>
          <w:sz w:val="24"/>
          <w:szCs w:val="24"/>
          <w:lang w:eastAsia="tr-TR"/>
        </w:rPr>
        <w:t xml:space="preserve"> belirlediği tutarda bir başlangıç teminatı yatırılması gerekmektedir.</w:t>
      </w:r>
    </w:p>
    <w:p w:rsidR="00DD6708" w:rsidRPr="00DD6708" w:rsidRDefault="00DD6708" w:rsidP="00DD6708">
      <w:pPr>
        <w:pStyle w:val="Style20"/>
        <w:widowControl/>
        <w:numPr>
          <w:ilvl w:val="0"/>
          <w:numId w:val="1"/>
        </w:numPr>
        <w:tabs>
          <w:tab w:val="left" w:pos="360"/>
        </w:tabs>
        <w:spacing w:line="240" w:lineRule="auto"/>
        <w:ind w:left="360" w:right="10" w:hanging="360"/>
        <w:rPr>
          <w:rStyle w:val="FontStyle29"/>
          <w:sz w:val="24"/>
          <w:szCs w:val="24"/>
          <w:lang w:eastAsia="tr-TR"/>
        </w:rPr>
      </w:pPr>
      <w:r w:rsidRPr="00DD6708">
        <w:rPr>
          <w:rStyle w:val="FontStyle30"/>
          <w:sz w:val="24"/>
          <w:szCs w:val="24"/>
          <w:lang w:eastAsia="tr-TR"/>
        </w:rPr>
        <w:t>Yurt dışı tezgahüstü türev işlemleri az tutarda özkaynak ile yapılabilmektedir. Bununla birlikte, tezgahüstü türev araçların sahip olduğu kaldıraç oranları sonucunda, belirli şartlar altında alınan teminatlar bile işlemin sonuçlandırılmasında gerekli olan parasal tutarı kısmen dahi karşılayabilecek seviyede olmayabilir.</w:t>
      </w:r>
    </w:p>
    <w:p w:rsidR="00DD6708" w:rsidRPr="00DD6708" w:rsidRDefault="00DD6708" w:rsidP="00DD6708">
      <w:pPr>
        <w:pStyle w:val="Style20"/>
        <w:widowControl/>
        <w:numPr>
          <w:ilvl w:val="0"/>
          <w:numId w:val="1"/>
        </w:numPr>
        <w:tabs>
          <w:tab w:val="left" w:pos="360"/>
        </w:tabs>
        <w:spacing w:line="240" w:lineRule="auto"/>
        <w:ind w:left="360" w:right="5" w:hanging="360"/>
        <w:rPr>
          <w:rStyle w:val="FontStyle29"/>
          <w:sz w:val="24"/>
          <w:szCs w:val="24"/>
          <w:lang w:eastAsia="tr-TR"/>
        </w:rPr>
      </w:pPr>
      <w:r w:rsidRPr="00DD6708">
        <w:rPr>
          <w:rStyle w:val="FontStyle30"/>
          <w:sz w:val="24"/>
          <w:szCs w:val="24"/>
          <w:lang w:eastAsia="tr-TR"/>
        </w:rPr>
        <w:t>Opsiyonların birçok çeşidi vardır ve kendinizi bir taahhüt altına sokmadan önce, opsiyon sözleşmesinin yatırım ihtiyaçlarınıza uygunluğundan ve bu sözleşmelere taraf olmanın içerdiği riskler hakkında yeterli bilgiye sahip olmalısınız.</w:t>
      </w:r>
    </w:p>
    <w:p w:rsidR="00DD6708" w:rsidRPr="00DD6708" w:rsidRDefault="00DD6708" w:rsidP="00DD6708">
      <w:pPr>
        <w:pStyle w:val="Style20"/>
        <w:widowControl/>
        <w:numPr>
          <w:ilvl w:val="0"/>
          <w:numId w:val="1"/>
        </w:numPr>
        <w:tabs>
          <w:tab w:val="left" w:pos="360"/>
        </w:tabs>
        <w:spacing w:line="240" w:lineRule="auto"/>
        <w:ind w:left="360" w:right="5" w:hanging="360"/>
        <w:rPr>
          <w:rStyle w:val="FontStyle29"/>
          <w:sz w:val="24"/>
          <w:szCs w:val="24"/>
          <w:lang w:eastAsia="tr-TR"/>
        </w:rPr>
      </w:pPr>
      <w:r w:rsidRPr="00DD6708">
        <w:rPr>
          <w:rStyle w:val="FontStyle30"/>
          <w:sz w:val="24"/>
          <w:szCs w:val="24"/>
          <w:lang w:eastAsia="tr-TR"/>
        </w:rPr>
        <w:t>Bir opsiyon sözleşmesi alırsanız, opsiyonu kullanmadığınız takdirde riskiniz, opsiyon primi ve buna ek olarak ödeyeceğiniz komisyon ve varsa borsa masrafları ile sınırlamanız mümkündür.</w:t>
      </w:r>
    </w:p>
    <w:p w:rsidR="00DD6708" w:rsidRPr="00DD6708" w:rsidRDefault="00DD6708" w:rsidP="00DD6708">
      <w:pPr>
        <w:pStyle w:val="Style20"/>
        <w:widowControl/>
        <w:numPr>
          <w:ilvl w:val="0"/>
          <w:numId w:val="1"/>
        </w:numPr>
        <w:tabs>
          <w:tab w:val="left" w:pos="360"/>
        </w:tabs>
        <w:spacing w:line="240" w:lineRule="auto"/>
        <w:ind w:left="360" w:right="5" w:hanging="360"/>
        <w:rPr>
          <w:rStyle w:val="FontStyle29"/>
          <w:sz w:val="24"/>
          <w:szCs w:val="24"/>
          <w:lang w:eastAsia="tr-TR"/>
        </w:rPr>
      </w:pPr>
      <w:r w:rsidRPr="00DD6708">
        <w:rPr>
          <w:rStyle w:val="FontStyle30"/>
          <w:sz w:val="24"/>
          <w:szCs w:val="24"/>
          <w:lang w:eastAsia="tr-TR"/>
        </w:rPr>
        <w:t>Bir opsiyon satarsınız, görece küçük ters bir piyasa hareketinde, opsiyon satmakla elde ettiğiniz prim ödemesini aşabilecek sınırsız potansiyel kayıp riskini üstlenirsiniz. Opsiyonu yerine getirmeniz istendiğinde, bunun üzerinde herhangi bir kontrol yetkiniz yoktur. Dolayısıyla, sadece yüksek sermayeye sahip deneyimli kişiler opsiyon satmaya teşebbüs etmelidirler.</w:t>
      </w:r>
    </w:p>
    <w:p w:rsidR="00DD6708" w:rsidRPr="00DD6708" w:rsidRDefault="00DD6708" w:rsidP="00DD6708">
      <w:pPr>
        <w:pStyle w:val="Style20"/>
        <w:widowControl/>
        <w:numPr>
          <w:ilvl w:val="0"/>
          <w:numId w:val="1"/>
        </w:numPr>
        <w:tabs>
          <w:tab w:val="left" w:pos="360"/>
        </w:tabs>
        <w:spacing w:line="240" w:lineRule="auto"/>
        <w:ind w:left="360" w:right="5" w:hanging="360"/>
        <w:rPr>
          <w:rStyle w:val="FontStyle29"/>
          <w:sz w:val="24"/>
          <w:szCs w:val="24"/>
          <w:lang w:eastAsia="tr-TR"/>
        </w:rPr>
      </w:pPr>
      <w:r w:rsidRPr="00DD6708">
        <w:rPr>
          <w:rStyle w:val="FontStyle30"/>
          <w:sz w:val="24"/>
          <w:szCs w:val="24"/>
          <w:lang w:eastAsia="tr-TR"/>
        </w:rPr>
        <w:t>Kaldıraç etkisi nedeniyle, düşük teminatla işlem yapmanın piyasada lehe çalışabileceği gibi aleyhe de çalışabileceği ve bu anlamda kaldıraç etkisinin tarafınıza yüksek kazançlar sağlayabileceği gibi zararlara da yol açabileceği ihtimalini göz önünde bulundurmalısınız.</w:t>
      </w:r>
    </w:p>
    <w:p w:rsidR="00DD6708" w:rsidRPr="00DD6708" w:rsidRDefault="007F2604" w:rsidP="00DD6708">
      <w:pPr>
        <w:pStyle w:val="Style20"/>
        <w:widowControl/>
        <w:numPr>
          <w:ilvl w:val="0"/>
          <w:numId w:val="1"/>
        </w:numPr>
        <w:tabs>
          <w:tab w:val="left" w:pos="360"/>
        </w:tabs>
        <w:spacing w:line="240" w:lineRule="auto"/>
        <w:ind w:left="360" w:right="10" w:hanging="360"/>
        <w:rPr>
          <w:rStyle w:val="FontStyle29"/>
          <w:sz w:val="24"/>
          <w:szCs w:val="24"/>
          <w:lang w:eastAsia="tr-TR"/>
        </w:rPr>
      </w:pPr>
      <w:r>
        <w:rPr>
          <w:rStyle w:val="FontStyle29"/>
          <w:b w:val="0"/>
          <w:sz w:val="24"/>
          <w:szCs w:val="24"/>
          <w:lang w:eastAsia="tr-TR"/>
        </w:rPr>
        <w:t>Alternatif Bank</w:t>
      </w:r>
      <w:r w:rsidR="00F3113C" w:rsidRPr="00F3113C">
        <w:rPr>
          <w:rStyle w:val="FontStyle29"/>
          <w:b w:val="0"/>
          <w:sz w:val="24"/>
          <w:szCs w:val="24"/>
          <w:lang w:eastAsia="tr-TR"/>
        </w:rPr>
        <w:t>’ın</w:t>
      </w:r>
      <w:r w:rsidR="00DD6708" w:rsidRPr="00DD6708">
        <w:rPr>
          <w:rStyle w:val="FontStyle30"/>
          <w:sz w:val="24"/>
          <w:szCs w:val="24"/>
          <w:lang w:eastAsia="tr-TR"/>
        </w:rPr>
        <w:t xml:space="preserve"> yurt dışı türev piyasalarda yapacağınız işlemlere ilişkin tarafınıza aktaracağı bilgiler ve yapacağı tavsiyelerin eksik ve doğrulanmaya muhtaç olabileceği tarafınızca dikkate alınmalıdır.</w:t>
      </w:r>
    </w:p>
    <w:p w:rsidR="00DD6708" w:rsidRPr="00DD6708" w:rsidRDefault="00DD6708" w:rsidP="00DD6708">
      <w:pPr>
        <w:pStyle w:val="Style20"/>
        <w:widowControl/>
        <w:numPr>
          <w:ilvl w:val="0"/>
          <w:numId w:val="1"/>
        </w:numPr>
        <w:tabs>
          <w:tab w:val="left" w:pos="360"/>
        </w:tabs>
        <w:spacing w:line="240" w:lineRule="auto"/>
        <w:ind w:left="360" w:right="10" w:hanging="360"/>
        <w:rPr>
          <w:rStyle w:val="FontStyle29"/>
          <w:sz w:val="24"/>
          <w:szCs w:val="24"/>
          <w:lang w:eastAsia="tr-TR"/>
        </w:rPr>
      </w:pPr>
      <w:r w:rsidRPr="00DD6708">
        <w:rPr>
          <w:rStyle w:val="FontStyle30"/>
          <w:sz w:val="24"/>
          <w:szCs w:val="24"/>
          <w:lang w:eastAsia="tr-TR"/>
        </w:rPr>
        <w:t xml:space="preserve">Yurtdışı türev araçların alım satımına ilişkin olarak </w:t>
      </w:r>
      <w:r w:rsidR="007F2604">
        <w:rPr>
          <w:rStyle w:val="FontStyle29"/>
          <w:b w:val="0"/>
          <w:sz w:val="24"/>
          <w:szCs w:val="24"/>
          <w:lang w:eastAsia="tr-TR"/>
        </w:rPr>
        <w:t>Alternatif Bank</w:t>
      </w:r>
      <w:r w:rsidR="00F3113C" w:rsidRPr="00F3113C">
        <w:rPr>
          <w:rStyle w:val="FontStyle29"/>
          <w:b w:val="0"/>
          <w:sz w:val="24"/>
          <w:szCs w:val="24"/>
          <w:lang w:eastAsia="tr-TR"/>
        </w:rPr>
        <w:t>’ın</w:t>
      </w:r>
      <w:r w:rsidRPr="00DD6708">
        <w:rPr>
          <w:rStyle w:val="FontStyle30"/>
          <w:sz w:val="24"/>
          <w:szCs w:val="24"/>
          <w:lang w:eastAsia="tr-TR"/>
        </w:rPr>
        <w:t xml:space="preserve"> yetkili personelince yapılacak teknik ve temel analizin kişiden kişiye farklılık arz edebileceği ve bu analizlerde yapılan öngörülerin kesin olarak gerçekleşmeme olasılığının bulunduğu dikkate alınmalıdır.</w:t>
      </w:r>
    </w:p>
    <w:p w:rsidR="00DD6708" w:rsidRPr="00DD6708" w:rsidRDefault="00DD6708" w:rsidP="00DD6708">
      <w:pPr>
        <w:pStyle w:val="Style20"/>
        <w:widowControl/>
        <w:numPr>
          <w:ilvl w:val="0"/>
          <w:numId w:val="1"/>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Yabancı para cinsinden menkul kıymetlerde, yukarıda sayılan risklere ek olarak kur riskinin olduğunu, kur dalgalanmaları nedeniyle Türk Lirası bazında değer kaybı olabileceği, devletlerin yabancı sermaye ve döviz hareketlerini kısıtlayabileceği, ek ve/veya yeni vergiler getirebileceği, alım-satım işlemlerinin zamanında gerçekleşmeyebileceği ve teslimat öngörülen sözleşmelerde fiziksel varlığın teslim edilmeme riskine de maruz kalınabileceği bilinmelidir.</w:t>
      </w:r>
    </w:p>
    <w:p w:rsidR="00DD6708" w:rsidRPr="00DD6708" w:rsidRDefault="00DD6708" w:rsidP="00DD6708">
      <w:pPr>
        <w:pStyle w:val="Style20"/>
        <w:widowControl/>
        <w:numPr>
          <w:ilvl w:val="0"/>
          <w:numId w:val="1"/>
        </w:numPr>
        <w:tabs>
          <w:tab w:val="left" w:pos="360"/>
        </w:tabs>
        <w:spacing w:line="240" w:lineRule="auto"/>
        <w:ind w:left="360" w:right="5" w:hanging="360"/>
        <w:rPr>
          <w:rStyle w:val="FontStyle29"/>
          <w:sz w:val="24"/>
          <w:szCs w:val="24"/>
          <w:lang w:eastAsia="tr-TR"/>
        </w:rPr>
      </w:pPr>
      <w:r w:rsidRPr="00DD6708">
        <w:rPr>
          <w:rStyle w:val="FontStyle30"/>
          <w:sz w:val="24"/>
          <w:szCs w:val="24"/>
          <w:lang w:eastAsia="tr-TR"/>
        </w:rPr>
        <w:t xml:space="preserve">Yükümlü olacağınız bütün masraf, maliyet ve komisyonlar; </w:t>
      </w:r>
      <w:r w:rsidR="009636E8">
        <w:rPr>
          <w:rStyle w:val="FontStyle30"/>
          <w:sz w:val="24"/>
          <w:szCs w:val="24"/>
          <w:lang w:eastAsia="tr-TR"/>
        </w:rPr>
        <w:t xml:space="preserve">imzalayacağınız </w:t>
      </w:r>
      <w:r w:rsidRPr="00DD6708">
        <w:rPr>
          <w:rStyle w:val="FontStyle30"/>
          <w:sz w:val="24"/>
          <w:szCs w:val="24"/>
          <w:lang w:eastAsia="tr-TR"/>
        </w:rPr>
        <w:t xml:space="preserve">Yurtdışı Türev Araçların Alım Satımına Aracılık Çerçeve Sözleşmesi'nin </w:t>
      </w:r>
      <w:r w:rsidR="009636E8">
        <w:rPr>
          <w:rStyle w:val="FontStyle30"/>
          <w:sz w:val="24"/>
          <w:szCs w:val="24"/>
          <w:lang w:eastAsia="tr-TR"/>
        </w:rPr>
        <w:t>ekinde</w:t>
      </w:r>
      <w:r w:rsidRPr="00DD6708">
        <w:rPr>
          <w:rStyle w:val="FontStyle30"/>
          <w:sz w:val="24"/>
          <w:szCs w:val="24"/>
          <w:lang w:eastAsia="tr-TR"/>
        </w:rPr>
        <w:t xml:space="preserve"> yer almaktadır.</w:t>
      </w:r>
    </w:p>
    <w:p w:rsidR="00DD6708" w:rsidRPr="00DD6708" w:rsidRDefault="00DD6708" w:rsidP="00DD6708">
      <w:pPr>
        <w:pStyle w:val="Style20"/>
        <w:widowControl/>
        <w:numPr>
          <w:ilvl w:val="0"/>
          <w:numId w:val="1"/>
        </w:numPr>
        <w:tabs>
          <w:tab w:val="left" w:pos="360"/>
        </w:tabs>
        <w:spacing w:line="240" w:lineRule="auto"/>
        <w:ind w:left="360" w:right="5" w:hanging="360"/>
        <w:rPr>
          <w:rStyle w:val="FontStyle29"/>
          <w:sz w:val="24"/>
          <w:szCs w:val="24"/>
          <w:lang w:eastAsia="tr-TR"/>
        </w:rPr>
      </w:pPr>
      <w:r w:rsidRPr="00DD6708">
        <w:rPr>
          <w:rStyle w:val="FontStyle30"/>
          <w:sz w:val="24"/>
          <w:szCs w:val="24"/>
          <w:lang w:eastAsia="tr-TR"/>
        </w:rPr>
        <w:t>Tezgahüstü türev işlemleri, taraflar arasında farklı ve belirli ihtiyaçlara karşılık vermek üzere yapılandırılmış ve işlem tarafları farklı özelliklere sahip olduklarından, başlangıç anında tespit edilmesi mümkün olmayan bazı özel risk unsurlarını barındırması mümkündür. Bu kapsamda tarafların, işlem yapacakları tezgahüstü sözleşmelerin kendi özel ihtiyaçlarına uygunluğu ve hukuki yaptırımların uygulanabilirliği konularında profesyonel yardım almaları tavsiye olunur.</w:t>
      </w:r>
    </w:p>
    <w:p w:rsidR="00DD6708" w:rsidRPr="00DD6708" w:rsidRDefault="00DD6708" w:rsidP="00DD6708">
      <w:pPr>
        <w:pStyle w:val="Style20"/>
        <w:widowControl/>
        <w:numPr>
          <w:ilvl w:val="0"/>
          <w:numId w:val="1"/>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Yurtdışı tezgahüstü türev işlemleri taraflar arasında gerçekleşmektedir. Bu nedenle işlemin karşı tarafının, işlemden doğan yükümlülüğünü yerine getirip getiremeyeceğine ilişkin kapasitesinin değerlendirilmesi tavsiye edilmektedir. Tezgahüstü piyasa kapsamında işlemlerin netleştirilmesi ve takasına ilişkin anlaşmaların yapılması mümkün olmakla birlikte, bu tür anlaşmaların varlığı taraflara işlemlerin sonuçlandırılması aşamasında herhangi bir garanti ya da koruma sağlamamaktadır.</w:t>
      </w:r>
    </w:p>
    <w:p w:rsidR="00DD6708" w:rsidRPr="00DD6708" w:rsidRDefault="00DD6708" w:rsidP="00DD6708">
      <w:pPr>
        <w:pStyle w:val="Style20"/>
        <w:widowControl/>
        <w:numPr>
          <w:ilvl w:val="0"/>
          <w:numId w:val="1"/>
        </w:numPr>
        <w:tabs>
          <w:tab w:val="left" w:pos="360"/>
        </w:tabs>
        <w:spacing w:line="240" w:lineRule="auto"/>
        <w:ind w:left="360" w:right="5" w:hanging="360"/>
        <w:rPr>
          <w:rStyle w:val="FontStyle29"/>
          <w:sz w:val="24"/>
          <w:szCs w:val="24"/>
          <w:lang w:eastAsia="tr-TR"/>
        </w:rPr>
      </w:pPr>
      <w:r w:rsidRPr="00DD6708">
        <w:rPr>
          <w:rStyle w:val="FontStyle30"/>
          <w:sz w:val="24"/>
          <w:szCs w:val="24"/>
          <w:lang w:eastAsia="tr-TR"/>
        </w:rPr>
        <w:t xml:space="preserve">Piyasa yapıcılarla yapılan karşılıklı işlemlerin </w:t>
      </w:r>
      <w:r w:rsidR="00507810">
        <w:rPr>
          <w:rStyle w:val="FontStyle30"/>
          <w:sz w:val="24"/>
          <w:szCs w:val="24"/>
          <w:lang w:eastAsia="tr-TR"/>
        </w:rPr>
        <w:t>üçüncü</w:t>
      </w:r>
      <w:r w:rsidRPr="00DD6708">
        <w:rPr>
          <w:rStyle w:val="FontStyle30"/>
          <w:sz w:val="24"/>
          <w:szCs w:val="24"/>
          <w:lang w:eastAsia="tr-TR"/>
        </w:rPr>
        <w:t xml:space="preserve"> taraflarla yapılmış gibi kabul edilmesi gerekmektedir. Bu işlemlerde piyasa yapıcılara, özellikle piyasa ya da münferit işleme ilişkin teknik bilgi ve tecrübeleri dikkate alındığında, işlemlere danışmanlık eden ya da emanetçi taraf olarak bakılmamalıdır. Hukuki ilişkilerinin tam ve açıklıkla belirlenmesine yönelik olarak, işlem kapsamına giren her türlü detay ve açıklamanın sözleşmede yer aldığını teyit etmelisiniz.</w:t>
      </w:r>
    </w:p>
    <w:p w:rsidR="00DD6708" w:rsidRPr="00DD6708" w:rsidRDefault="00DD6708" w:rsidP="00DD6708">
      <w:pPr>
        <w:pStyle w:val="Style20"/>
        <w:widowControl/>
        <w:numPr>
          <w:ilvl w:val="0"/>
          <w:numId w:val="1"/>
        </w:numPr>
        <w:tabs>
          <w:tab w:val="left" w:pos="360"/>
        </w:tabs>
        <w:spacing w:line="240" w:lineRule="auto"/>
        <w:ind w:left="360" w:right="5" w:hanging="360"/>
        <w:rPr>
          <w:rStyle w:val="FontStyle29"/>
          <w:sz w:val="24"/>
          <w:szCs w:val="24"/>
          <w:lang w:eastAsia="tr-TR"/>
        </w:rPr>
      </w:pPr>
      <w:r w:rsidRPr="00DD6708">
        <w:rPr>
          <w:rStyle w:val="FontStyle30"/>
          <w:sz w:val="24"/>
          <w:szCs w:val="24"/>
          <w:lang w:eastAsia="tr-TR"/>
        </w:rPr>
        <w:t>Yurtdışı tezgahüstü türev işlemleri kapsamında getiri kadar karşılaşılması muhtemel zararın da miktarı çok yüksek tutarda olabilir. İşlem başlangıcında sayısal olarak ortaya konulamayan miktarlarda zarara maruz kalabilirsiniz.</w:t>
      </w:r>
    </w:p>
    <w:p w:rsidR="00DD6708" w:rsidRPr="00DD6708" w:rsidRDefault="00DD6708" w:rsidP="00DD6708">
      <w:pPr>
        <w:pStyle w:val="Style20"/>
        <w:widowControl/>
        <w:numPr>
          <w:ilvl w:val="0"/>
          <w:numId w:val="1"/>
        </w:numPr>
        <w:tabs>
          <w:tab w:val="left" w:pos="360"/>
        </w:tabs>
        <w:spacing w:line="240" w:lineRule="auto"/>
        <w:ind w:left="360" w:right="5" w:hanging="360"/>
        <w:rPr>
          <w:rStyle w:val="FontStyle29"/>
          <w:sz w:val="24"/>
          <w:szCs w:val="24"/>
          <w:lang w:eastAsia="tr-TR"/>
        </w:rPr>
      </w:pPr>
      <w:r w:rsidRPr="00DD6708">
        <w:rPr>
          <w:rStyle w:val="FontStyle30"/>
          <w:sz w:val="24"/>
          <w:szCs w:val="24"/>
          <w:lang w:eastAsia="tr-TR"/>
        </w:rPr>
        <w:t>Yurtdışı tezgahüstü türev işlemlerinin kişisel ihtiyaçlara göre yapılandırılmış olması ve sözleşmelerin, işlemlerin sonuçlandırılması ya da diğer bir tarafa devredilmesine ilişkin içerdiği kısıtlamalar nedeniyle, herhangi bir tezgahüstü türev işleminin, işlem başlangıç fiyatı üzerinde ya da herhangi bir fiyat üzerinden zarar durdurmalı emir ihtiva etse bile tasfiye edilmesi mümkün olamayabilir.</w:t>
      </w:r>
    </w:p>
    <w:p w:rsidR="00DD6708" w:rsidRPr="00DD6708" w:rsidRDefault="00DD6708" w:rsidP="00DD6708">
      <w:pPr>
        <w:pStyle w:val="Style20"/>
        <w:widowControl/>
        <w:numPr>
          <w:ilvl w:val="0"/>
          <w:numId w:val="1"/>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Yurt dışı tezgahüstü türev araç işlemlerinin kişisel ihtiyaçlara göre yapılandırılmış olması ve sözleşmelerin, işlemlerin sonuçlandırılması ya da diğer bir tarafa devredilmesine ilişkin içerdiği kısıtlamalar nedeniyle, herhangi bir tezgahüstü türev işlem, başlangıç fiyatından ya da herhangi bir fiyat üzerinden zarar durdurmalı emir (stop loss order) ihtiva etse bile, tasfiye edilmesi mümkün olamayabilir. Yurtdışı tezgahüstü türev ürünlerde ilişkin fiyat kotasyonları yurt dışı aracı kuruluşlardan elde edilerek müşterilere sunulur.</w:t>
      </w:r>
    </w:p>
    <w:p w:rsidR="00DD6708" w:rsidRPr="00DD6708" w:rsidRDefault="00DD6708" w:rsidP="00DD6708">
      <w:pPr>
        <w:pStyle w:val="Style20"/>
        <w:widowControl/>
        <w:numPr>
          <w:ilvl w:val="0"/>
          <w:numId w:val="1"/>
        </w:numPr>
        <w:tabs>
          <w:tab w:val="left" w:pos="360"/>
        </w:tabs>
        <w:spacing w:line="240" w:lineRule="auto"/>
        <w:ind w:left="360" w:right="10" w:hanging="360"/>
        <w:rPr>
          <w:rStyle w:val="FontStyle29"/>
          <w:sz w:val="24"/>
          <w:szCs w:val="24"/>
          <w:lang w:eastAsia="tr-TR"/>
        </w:rPr>
      </w:pPr>
      <w:r w:rsidRPr="00DD6708">
        <w:rPr>
          <w:rStyle w:val="FontStyle30"/>
          <w:sz w:val="24"/>
          <w:szCs w:val="24"/>
          <w:lang w:eastAsia="tr-TR"/>
        </w:rPr>
        <w:t>Piyasa riskine ilişkin değerlendirme yapılması tamamen bu riske maruz kalan tarafların sorumluluğu altındadır. Anlaşma hükümleri çerçevesinde, tezgahüstü türev araç işleminin vadesi içerisinde, taraflardan hiçbirinin (aracılık eden kurumlar dahil), işlemin diğer tarafına ya da taraflarına piyasa ve fiyat hareketleri hakkında bilgi verme zorunluluğu bulunmamaktadır.</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Elektronik işlem platformlarında gerçekleştirilecek yurt dışı tezgahüstü türev araç işlemleri kapsamında bilgi işlem altyapısında yaşanması muhtemel problemlerden kaynaklanan farklı risklere maruz kalınması mümkündür.</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Organize piyasalarda ve borsalarda gerçekleştirilen yurt dışı türev araç işlemlerinin ikincil piyasası vardır. Yurt dışı tezgahüstü türev araç işlemlerine konu ürünlerin ikincil piyasası yoktur.</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 xml:space="preserve">Likiditenin düşük, fiyat marjlarının açık olduğu piyasa koşullarında; işlem yapılan sözleşmede piyasa yapıcısı olsa dahi, riski sınırlamaya imkan veren emir tipleri likidite riskine karşı yeterli önlem olmayabilir. Ancak, piyasa yapıcısı bulunmayan sözleşmelerde likidite riski daha yüksek olabilir. İşlem yapacağınız finansal ürünün işlem gördüğü piyasaların tatil olması, teknik ya da diğer mücbir sebepler nedeniyle </w:t>
      </w:r>
      <w:r w:rsidR="007F2604">
        <w:rPr>
          <w:rStyle w:val="FontStyle29"/>
          <w:b w:val="0"/>
          <w:sz w:val="24"/>
          <w:szCs w:val="24"/>
          <w:lang w:eastAsia="tr-TR"/>
        </w:rPr>
        <w:t>Alternatif Bank</w:t>
      </w:r>
      <w:r w:rsidRPr="00DD6708">
        <w:rPr>
          <w:rStyle w:val="FontStyle29"/>
          <w:sz w:val="24"/>
          <w:szCs w:val="24"/>
          <w:lang w:eastAsia="tr-TR"/>
        </w:rPr>
        <w:t xml:space="preserve"> </w:t>
      </w:r>
      <w:r w:rsidRPr="00DD6708">
        <w:rPr>
          <w:rStyle w:val="FontStyle30"/>
          <w:sz w:val="24"/>
          <w:szCs w:val="24"/>
          <w:lang w:eastAsia="tr-TR"/>
        </w:rPr>
        <w:t>yurtdışı türev araç işlemine konu ürüne emir kabul edemeyebilir.</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Yetkili kuruluşlar tarafından yurt dışında gerçekleştirilen türev araç işlemleri sonucunda kayba uğramayacağınız, kaybınızın kontrol altında tutulacağı konularında garanti verilemeyeceğini bilmelisiniz.</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 xml:space="preserve">Piyasadaki fiyat hareketleri, almış olduğunuz pozisyonun aleyhine geliştiğinde, hesabınızda teminat yetersizliği oluşabilir. Bu durumda </w:t>
      </w:r>
      <w:r w:rsidR="007F2604">
        <w:rPr>
          <w:rStyle w:val="FontStyle29"/>
          <w:b w:val="0"/>
          <w:sz w:val="24"/>
          <w:szCs w:val="24"/>
          <w:lang w:eastAsia="tr-TR"/>
        </w:rPr>
        <w:t>Alternatif Bank</w:t>
      </w:r>
      <w:r w:rsidRPr="00710E72">
        <w:rPr>
          <w:rStyle w:val="FontStyle29"/>
          <w:b w:val="0"/>
          <w:sz w:val="24"/>
          <w:szCs w:val="24"/>
          <w:lang w:eastAsia="tr-TR"/>
        </w:rPr>
        <w:t xml:space="preserve"> </w:t>
      </w:r>
      <w:r w:rsidRPr="00DD6708">
        <w:rPr>
          <w:rStyle w:val="FontStyle30"/>
          <w:sz w:val="24"/>
          <w:szCs w:val="24"/>
          <w:lang w:eastAsia="tr-TR"/>
        </w:rPr>
        <w:t>pasif emir girişi kabul etmeyebilir veya pozisyonunuzu tasfiye edebilir.</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 xml:space="preserve">Yurtdışı türev araçlara ilişkin risk takibi, </w:t>
      </w:r>
      <w:r w:rsidR="007F2604">
        <w:rPr>
          <w:rStyle w:val="FontStyle29"/>
          <w:b w:val="0"/>
          <w:sz w:val="24"/>
          <w:szCs w:val="24"/>
          <w:lang w:eastAsia="tr-TR"/>
        </w:rPr>
        <w:t>Alternatif Bank</w:t>
      </w:r>
      <w:r w:rsidR="00710E72" w:rsidRPr="00710E72">
        <w:rPr>
          <w:rStyle w:val="FontStyle29"/>
          <w:b w:val="0"/>
          <w:sz w:val="24"/>
          <w:szCs w:val="24"/>
          <w:lang w:eastAsia="tr-TR"/>
        </w:rPr>
        <w:t>’ın</w:t>
      </w:r>
      <w:r w:rsidRPr="00DD6708">
        <w:rPr>
          <w:rStyle w:val="FontStyle30"/>
          <w:sz w:val="24"/>
          <w:szCs w:val="24"/>
          <w:lang w:eastAsia="tr-TR"/>
        </w:rPr>
        <w:t xml:space="preserve"> müşterilerinin kullanımına sunduğu işlem platformları üzerinden yapılmaktadır. İşlem platformu kullanılması durumunda, teminat kontrolleri otomatik ve anlık olarak yapılır. İşlem teminatları başlangıç ve sürdürme teminatı olarak iki kademede tespit edilir. </w:t>
      </w:r>
      <w:r w:rsidR="007F2604">
        <w:rPr>
          <w:rStyle w:val="FontStyle29"/>
          <w:b w:val="0"/>
          <w:sz w:val="24"/>
          <w:szCs w:val="24"/>
          <w:lang w:eastAsia="tr-TR"/>
        </w:rPr>
        <w:t>Alternatif Bank</w:t>
      </w:r>
      <w:r w:rsidRPr="00DD6708">
        <w:rPr>
          <w:rStyle w:val="FontStyle29"/>
          <w:sz w:val="24"/>
          <w:szCs w:val="24"/>
          <w:lang w:eastAsia="tr-TR"/>
        </w:rPr>
        <w:t xml:space="preserve">, </w:t>
      </w:r>
      <w:r w:rsidRPr="00DD6708">
        <w:rPr>
          <w:rStyle w:val="FontStyle30"/>
          <w:sz w:val="24"/>
          <w:szCs w:val="24"/>
          <w:lang w:eastAsia="tr-TR"/>
        </w:rPr>
        <w:t>Yurt Dışı Aracısı'nın Borsa kuralları çerçevesinde, başlangıç ve sürdürme teminatlarının artırılmasını isteyebilir.</w:t>
      </w:r>
    </w:p>
    <w:p w:rsidR="00DD6708" w:rsidRPr="00DD6708" w:rsidRDefault="007F2604" w:rsidP="00DD6708">
      <w:pPr>
        <w:pStyle w:val="Style20"/>
        <w:widowControl/>
        <w:numPr>
          <w:ilvl w:val="0"/>
          <w:numId w:val="2"/>
        </w:numPr>
        <w:tabs>
          <w:tab w:val="left" w:pos="360"/>
        </w:tabs>
        <w:spacing w:line="240" w:lineRule="auto"/>
        <w:ind w:left="360" w:hanging="360"/>
        <w:rPr>
          <w:rStyle w:val="FontStyle29"/>
          <w:sz w:val="24"/>
          <w:szCs w:val="24"/>
          <w:lang w:eastAsia="tr-TR"/>
        </w:rPr>
      </w:pPr>
      <w:r>
        <w:rPr>
          <w:rStyle w:val="FontStyle29"/>
          <w:b w:val="0"/>
          <w:sz w:val="24"/>
          <w:szCs w:val="24"/>
          <w:lang w:eastAsia="tr-TR"/>
        </w:rPr>
        <w:t>Alternatif Bank</w:t>
      </w:r>
      <w:r w:rsidR="00DD6708" w:rsidRPr="00DD6708">
        <w:rPr>
          <w:rStyle w:val="FontStyle29"/>
          <w:sz w:val="24"/>
          <w:szCs w:val="24"/>
          <w:lang w:eastAsia="tr-TR"/>
        </w:rPr>
        <w:t xml:space="preserve"> </w:t>
      </w:r>
      <w:r w:rsidR="00DD6708" w:rsidRPr="00DD6708">
        <w:rPr>
          <w:rStyle w:val="FontStyle30"/>
          <w:sz w:val="24"/>
          <w:szCs w:val="24"/>
          <w:lang w:eastAsia="tr-TR"/>
        </w:rPr>
        <w:t>tarafından yapılacak teminat tamamlama çağrılarının, istenen süre içinde ve şekilde yerine getirilmesi, aksi takdirde hiçbir ihbara gerek kalmaksızın, pozisyonun piyasa değerinden, özen borcu çerçevesinde, zararına da olsa kapatılmasına razı olunması gerekmektedir.</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 xml:space="preserve">İşlem teminatları Türk Lirası veya konvertible döviz cinsi olarak </w:t>
      </w:r>
      <w:r w:rsidR="007F2604">
        <w:rPr>
          <w:rStyle w:val="FontStyle29"/>
          <w:b w:val="0"/>
          <w:sz w:val="24"/>
          <w:szCs w:val="24"/>
          <w:lang w:eastAsia="tr-TR"/>
        </w:rPr>
        <w:t>Alternatif Bank</w:t>
      </w:r>
      <w:r w:rsidRPr="00710E72">
        <w:rPr>
          <w:rStyle w:val="FontStyle29"/>
          <w:b w:val="0"/>
          <w:sz w:val="24"/>
          <w:szCs w:val="24"/>
          <w:lang w:eastAsia="tr-TR"/>
        </w:rPr>
        <w:t xml:space="preserve"> </w:t>
      </w:r>
      <w:r w:rsidRPr="00DD6708">
        <w:rPr>
          <w:rStyle w:val="FontStyle30"/>
          <w:sz w:val="24"/>
          <w:szCs w:val="24"/>
          <w:lang w:eastAsia="tr-TR"/>
        </w:rPr>
        <w:t xml:space="preserve">nezdindeki yatırımcı hesabında bulundurulur. </w:t>
      </w:r>
      <w:r w:rsidR="007F2604">
        <w:rPr>
          <w:rStyle w:val="FontStyle29"/>
          <w:b w:val="0"/>
          <w:sz w:val="24"/>
          <w:szCs w:val="24"/>
          <w:lang w:eastAsia="tr-TR"/>
        </w:rPr>
        <w:t>Alternatif Bank</w:t>
      </w:r>
      <w:r w:rsidRPr="00DD6708">
        <w:rPr>
          <w:rStyle w:val="FontStyle29"/>
          <w:sz w:val="24"/>
          <w:szCs w:val="24"/>
          <w:lang w:eastAsia="tr-TR"/>
        </w:rPr>
        <w:t xml:space="preserve">, </w:t>
      </w:r>
      <w:r w:rsidRPr="00DD6708">
        <w:rPr>
          <w:rStyle w:val="FontStyle30"/>
          <w:sz w:val="24"/>
          <w:szCs w:val="24"/>
          <w:lang w:eastAsia="tr-TR"/>
        </w:rPr>
        <w:t xml:space="preserve">Müşteri'nin teminatlarını ve pozisyonlarının değerlemesini Yurtdışı Aracısı nezdindeki </w:t>
      </w:r>
      <w:r w:rsidR="007F2604">
        <w:rPr>
          <w:rStyle w:val="FontStyle29"/>
          <w:b w:val="0"/>
          <w:sz w:val="24"/>
          <w:szCs w:val="24"/>
          <w:lang w:eastAsia="tr-TR"/>
        </w:rPr>
        <w:t>Alternatif Bank</w:t>
      </w:r>
      <w:r w:rsidRPr="00DD6708">
        <w:rPr>
          <w:rStyle w:val="FontStyle29"/>
          <w:sz w:val="24"/>
          <w:szCs w:val="24"/>
          <w:lang w:eastAsia="tr-TR"/>
        </w:rPr>
        <w:t xml:space="preserve"> </w:t>
      </w:r>
      <w:r w:rsidRPr="00DD6708">
        <w:rPr>
          <w:rStyle w:val="FontStyle30"/>
          <w:sz w:val="24"/>
          <w:szCs w:val="24"/>
          <w:lang w:eastAsia="tr-TR"/>
        </w:rPr>
        <w:t>adına açılan hesapta alt hesap olarak takip eder.</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Yurtdışı türev araçların işlem gördüğü Borsa'lar, ilgili mevzuatlarında yer alan belli koşulların varlığı halinde, vadeli işlem ve opsiyon sözleşmelerinin vade bitim tarihlerini belirlemeye veya belirlenmiş olan vade bitim tarihlerini değiştirmeye ve pozisyonları tasfiye etmeye yetkilidir. Vade bitim tarihinde ilgili üründe açık pozisyonunuz otomatik olarak kapanır ve varsa bekleyen emirleriniz silinir. Yeni vadede hesabınıza otomatik olarak pozisyon açılmaz / emir girilmez. İşlem yapacağınız sözleşmelerin vade bitim tarihlerini dikkate almalısınız.</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Hesap ve/veya firma bazında ilgili borsa tarafından belirlenen pozisyon limitine ulaşıldığı takdirde, pozisyonunuzu kapatmak dışında vereceğiniz emirler piyasada gerçekleşmeyebilecektir.</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 xml:space="preserve">Yurtdışı türev araçlar işlemleri için bulundurulması gereken teminatlar ve müşteri varlıkları, </w:t>
      </w:r>
      <w:r w:rsidR="007F2604">
        <w:rPr>
          <w:rStyle w:val="FontStyle29"/>
          <w:b w:val="0"/>
          <w:sz w:val="24"/>
          <w:szCs w:val="24"/>
          <w:lang w:eastAsia="tr-TR"/>
        </w:rPr>
        <w:t>Alternatif Bank</w:t>
      </w:r>
      <w:r w:rsidRPr="00DD6708">
        <w:rPr>
          <w:rStyle w:val="FontStyle29"/>
          <w:sz w:val="24"/>
          <w:szCs w:val="24"/>
          <w:lang w:eastAsia="tr-TR"/>
        </w:rPr>
        <w:t xml:space="preserve"> </w:t>
      </w:r>
      <w:r w:rsidRPr="00DD6708">
        <w:rPr>
          <w:rStyle w:val="FontStyle30"/>
          <w:sz w:val="24"/>
          <w:szCs w:val="24"/>
          <w:lang w:eastAsia="tr-TR"/>
        </w:rPr>
        <w:t>ile Yurtdışı aracısı arasında akdedilen sözleşmeler gereğince, yetkili olan kurum ya da kuruluşlar nezdinde ve/veya ilgili Yurtdı</w:t>
      </w:r>
      <w:r w:rsidR="00710E72">
        <w:rPr>
          <w:rStyle w:val="FontStyle30"/>
          <w:sz w:val="24"/>
          <w:szCs w:val="24"/>
          <w:lang w:eastAsia="tr-TR"/>
        </w:rPr>
        <w:t>ş</w:t>
      </w:r>
      <w:r w:rsidRPr="00DD6708">
        <w:rPr>
          <w:rStyle w:val="FontStyle30"/>
          <w:sz w:val="24"/>
          <w:szCs w:val="24"/>
          <w:lang w:eastAsia="tr-TR"/>
        </w:rPr>
        <w:t>ı Borsa Takas Merkezlerinde saklanır.</w:t>
      </w:r>
    </w:p>
    <w:p w:rsidR="00DD6708" w:rsidRPr="00DD6708" w:rsidRDefault="00DD6708" w:rsidP="00DD6708">
      <w:pPr>
        <w:pStyle w:val="Style20"/>
        <w:widowControl/>
        <w:numPr>
          <w:ilvl w:val="0"/>
          <w:numId w:val="2"/>
        </w:numPr>
        <w:tabs>
          <w:tab w:val="left" w:pos="360"/>
        </w:tabs>
        <w:spacing w:line="240" w:lineRule="auto"/>
        <w:ind w:firstLine="0"/>
        <w:jc w:val="left"/>
        <w:rPr>
          <w:rStyle w:val="FontStyle29"/>
          <w:sz w:val="24"/>
          <w:szCs w:val="24"/>
          <w:lang w:eastAsia="tr-TR"/>
        </w:rPr>
      </w:pPr>
      <w:r w:rsidRPr="00DD6708">
        <w:rPr>
          <w:rStyle w:val="FontStyle30"/>
          <w:sz w:val="24"/>
          <w:szCs w:val="24"/>
          <w:lang w:eastAsia="tr-TR"/>
        </w:rPr>
        <w:t>Yatırımcı tazmin sistemi konusunda; ilgili ülke, borsa ve piyasa düzenlemelerine uyulur.</w:t>
      </w:r>
    </w:p>
    <w:p w:rsidR="00DD6708" w:rsidRPr="00DD6708" w:rsidRDefault="00DD6708" w:rsidP="00DD6708">
      <w:pPr>
        <w:pStyle w:val="Style20"/>
        <w:widowControl/>
        <w:numPr>
          <w:ilvl w:val="0"/>
          <w:numId w:val="2"/>
        </w:numPr>
        <w:tabs>
          <w:tab w:val="left" w:pos="360"/>
        </w:tabs>
        <w:spacing w:line="240" w:lineRule="auto"/>
        <w:ind w:left="360" w:hanging="360"/>
        <w:rPr>
          <w:rStyle w:val="FontStyle29"/>
          <w:sz w:val="24"/>
          <w:szCs w:val="24"/>
          <w:lang w:eastAsia="tr-TR"/>
        </w:rPr>
      </w:pPr>
      <w:r w:rsidRPr="00DD6708">
        <w:rPr>
          <w:rStyle w:val="FontStyle30"/>
          <w:sz w:val="24"/>
          <w:szCs w:val="24"/>
          <w:lang w:eastAsia="tr-TR"/>
        </w:rPr>
        <w:t xml:space="preserve">Yurtdışı tezgahüstü piyasa işlemleri kapsamında, </w:t>
      </w:r>
      <w:r w:rsidR="007F2604">
        <w:rPr>
          <w:rStyle w:val="FontStyle29"/>
          <w:b w:val="0"/>
          <w:sz w:val="24"/>
          <w:szCs w:val="24"/>
          <w:lang w:eastAsia="tr-TR"/>
        </w:rPr>
        <w:t>Alternatif Bank</w:t>
      </w:r>
      <w:r w:rsidRPr="00DD6708">
        <w:rPr>
          <w:rStyle w:val="FontStyle29"/>
          <w:sz w:val="24"/>
          <w:szCs w:val="24"/>
          <w:lang w:eastAsia="tr-TR"/>
        </w:rPr>
        <w:t xml:space="preserve"> </w:t>
      </w:r>
      <w:r w:rsidRPr="00DD6708">
        <w:rPr>
          <w:rStyle w:val="FontStyle30"/>
          <w:sz w:val="24"/>
          <w:szCs w:val="24"/>
          <w:lang w:eastAsia="tr-TR"/>
        </w:rPr>
        <w:t>çalışanlarının hatalı işlemlerini de kapsayacak şekilde, tazminat garantisi veren zorunlu sigorta anlaşmaları bulunmamaktadır.</w:t>
      </w:r>
    </w:p>
    <w:p w:rsidR="00DD6708" w:rsidRPr="00DD6708" w:rsidRDefault="00DD6708" w:rsidP="00DD6708">
      <w:pPr>
        <w:pStyle w:val="Style15"/>
        <w:widowControl/>
        <w:spacing w:line="240" w:lineRule="auto"/>
      </w:pPr>
    </w:p>
    <w:p w:rsidR="00DD6708" w:rsidRDefault="00DD6708" w:rsidP="00DD6708">
      <w:pPr>
        <w:pStyle w:val="Style15"/>
        <w:widowControl/>
        <w:spacing w:line="240" w:lineRule="auto"/>
        <w:rPr>
          <w:rStyle w:val="FontStyle29"/>
          <w:sz w:val="24"/>
          <w:szCs w:val="24"/>
          <w:lang w:eastAsia="tr-TR"/>
        </w:rPr>
      </w:pPr>
      <w:r w:rsidRPr="00DD6708">
        <w:rPr>
          <w:rStyle w:val="FontStyle29"/>
          <w:sz w:val="24"/>
          <w:szCs w:val="24"/>
          <w:lang w:eastAsia="tr-TR"/>
        </w:rPr>
        <w:t>İşu Yurtdışı Türev Araçlar Risk Bildirim Formu, yatırımcıyı genel olarak mevcut riskler hakkında bilgilendirmeyi amaçlamakta olup, vadeli işlem ve opsiyon sözleşmelerinin alım-satımından ve uygulamadan kaynaklanabilecek tüm riskleri kapsamayabilir. Dolayısıyla tasarruflarınızı bu tip yatırımlara yönlendirmeden önce dikkatli bir şeklide araştırma yapmalısınız.</w:t>
      </w:r>
    </w:p>
    <w:p w:rsidR="00710E72" w:rsidRPr="00DD6708" w:rsidRDefault="00710E72" w:rsidP="00DD6708">
      <w:pPr>
        <w:pStyle w:val="Style15"/>
        <w:widowControl/>
        <w:spacing w:line="240" w:lineRule="auto"/>
        <w:rPr>
          <w:rStyle w:val="FontStyle29"/>
          <w:sz w:val="24"/>
          <w:szCs w:val="24"/>
          <w:lang w:eastAsia="tr-TR"/>
        </w:rPr>
      </w:pPr>
    </w:p>
    <w:p w:rsidR="00DD6708" w:rsidRDefault="00DD6708" w:rsidP="00DD6708">
      <w:pPr>
        <w:pStyle w:val="Style15"/>
        <w:widowControl/>
        <w:spacing w:line="240" w:lineRule="auto"/>
        <w:rPr>
          <w:rStyle w:val="FontStyle29"/>
          <w:sz w:val="24"/>
          <w:szCs w:val="24"/>
          <w:lang w:eastAsia="tr-TR"/>
        </w:rPr>
      </w:pPr>
      <w:r w:rsidRPr="00DD6708">
        <w:rPr>
          <w:rStyle w:val="FontStyle29"/>
          <w:sz w:val="24"/>
          <w:szCs w:val="24"/>
          <w:lang w:eastAsia="tr-TR"/>
        </w:rPr>
        <w:t xml:space="preserve">Yukarıdaki tüm hususları okuyup, anladığımı; işbu esasların uygulanması sırasında </w:t>
      </w:r>
      <w:r w:rsidR="00710E72">
        <w:rPr>
          <w:rStyle w:val="FontStyle29"/>
          <w:sz w:val="24"/>
          <w:szCs w:val="24"/>
          <w:lang w:eastAsia="tr-TR"/>
        </w:rPr>
        <w:t>Yatırım Kuruluşunun</w:t>
      </w:r>
      <w:r w:rsidRPr="00DD6708">
        <w:rPr>
          <w:rStyle w:val="FontStyle29"/>
          <w:sz w:val="24"/>
          <w:szCs w:val="24"/>
          <w:lang w:eastAsia="tr-TR"/>
        </w:rPr>
        <w:t xml:space="preserve"> kusuru veya ihmali nedeniyle doğabilecek zararlarımı talep ve dava haklarım saklı kalmak kay</w:t>
      </w:r>
      <w:r w:rsidR="00710E72">
        <w:rPr>
          <w:rStyle w:val="FontStyle29"/>
          <w:sz w:val="24"/>
          <w:szCs w:val="24"/>
          <w:lang w:eastAsia="tr-TR"/>
        </w:rPr>
        <w:t>dıyla özgür iradem sonucu işbu “</w:t>
      </w:r>
      <w:r w:rsidRPr="00DD6708">
        <w:rPr>
          <w:rStyle w:val="FontStyle29"/>
          <w:sz w:val="24"/>
          <w:szCs w:val="24"/>
          <w:lang w:eastAsia="tr-TR"/>
        </w:rPr>
        <w:t>Yurtdışı Tü</w:t>
      </w:r>
      <w:r w:rsidR="00710E72">
        <w:rPr>
          <w:rStyle w:val="FontStyle29"/>
          <w:sz w:val="24"/>
          <w:szCs w:val="24"/>
          <w:lang w:eastAsia="tr-TR"/>
        </w:rPr>
        <w:t>rev Araçlar Risk Bildirim Formu”</w:t>
      </w:r>
      <w:r w:rsidRPr="00DD6708">
        <w:rPr>
          <w:rStyle w:val="FontStyle29"/>
          <w:sz w:val="24"/>
          <w:szCs w:val="24"/>
          <w:lang w:eastAsia="tr-TR"/>
        </w:rPr>
        <w:t xml:space="preserve">nu imzaladığımı </w:t>
      </w:r>
      <w:r w:rsidR="00710E72">
        <w:rPr>
          <w:rStyle w:val="FontStyle29"/>
          <w:sz w:val="24"/>
          <w:szCs w:val="24"/>
          <w:lang w:eastAsia="tr-TR"/>
        </w:rPr>
        <w:t>ve bundan sonra “</w:t>
      </w:r>
      <w:r w:rsidRPr="00DD6708">
        <w:rPr>
          <w:rStyle w:val="FontStyle29"/>
          <w:sz w:val="24"/>
          <w:szCs w:val="24"/>
          <w:lang w:eastAsia="tr-TR"/>
        </w:rPr>
        <w:t>Yurtdışı Türev Araçların Alım Satım</w:t>
      </w:r>
      <w:r w:rsidR="00710E72">
        <w:rPr>
          <w:rStyle w:val="FontStyle29"/>
          <w:sz w:val="24"/>
          <w:szCs w:val="24"/>
          <w:lang w:eastAsia="tr-TR"/>
        </w:rPr>
        <w:t>ına Aracılık Çerçeve Sözleşmesi”</w:t>
      </w:r>
      <w:r w:rsidRPr="00DD6708">
        <w:rPr>
          <w:rStyle w:val="FontStyle29"/>
          <w:sz w:val="24"/>
          <w:szCs w:val="24"/>
          <w:lang w:eastAsia="tr-TR"/>
        </w:rPr>
        <w:t>ni imzalayarak işbu formun bir örneğini aldığımı kabul ve beyan ederim.</w:t>
      </w:r>
    </w:p>
    <w:p w:rsidR="00710E72" w:rsidRDefault="00710E72" w:rsidP="00DD6708">
      <w:pPr>
        <w:pStyle w:val="Style15"/>
        <w:widowControl/>
        <w:spacing w:line="240" w:lineRule="auto"/>
        <w:rPr>
          <w:rStyle w:val="FontStyle29"/>
          <w:sz w:val="24"/>
          <w:szCs w:val="24"/>
          <w:lang w:eastAsia="tr-TR"/>
        </w:rPr>
      </w:pPr>
    </w:p>
    <w:p w:rsidR="00710E72" w:rsidRPr="00710E72" w:rsidRDefault="00710E72" w:rsidP="00710E72">
      <w:pPr>
        <w:widowControl w:val="0"/>
        <w:suppressAutoHyphens w:val="0"/>
        <w:autoSpaceDE w:val="0"/>
        <w:autoSpaceDN w:val="0"/>
        <w:adjustRightInd w:val="0"/>
        <w:jc w:val="both"/>
        <w:rPr>
          <w:rFonts w:ascii="Times New Roman" w:hAnsi="Times New Roman"/>
          <w:b/>
          <w:bCs/>
          <w:color w:val="000000"/>
          <w:szCs w:val="24"/>
          <w:lang w:val="tr-TR" w:eastAsia="tr-TR"/>
        </w:rPr>
      </w:pPr>
    </w:p>
    <w:p w:rsidR="00710E72" w:rsidRPr="00710E72" w:rsidRDefault="00710E72" w:rsidP="00710E72">
      <w:pPr>
        <w:widowControl w:val="0"/>
        <w:suppressAutoHyphens w:val="0"/>
        <w:autoSpaceDE w:val="0"/>
        <w:autoSpaceDN w:val="0"/>
        <w:adjustRightInd w:val="0"/>
        <w:ind w:firstLine="691"/>
        <w:jc w:val="both"/>
        <w:rPr>
          <w:rFonts w:ascii="Times New Roman" w:hAnsi="Times New Roman"/>
          <w:b/>
          <w:bCs/>
          <w:color w:val="000000"/>
          <w:szCs w:val="24"/>
          <w:lang w:val="tr-TR" w:eastAsia="tr-TR"/>
        </w:rPr>
      </w:pPr>
    </w:p>
    <w:p w:rsidR="00710E72" w:rsidRPr="00710E72" w:rsidRDefault="00710E72" w:rsidP="00710E72">
      <w:pPr>
        <w:widowControl w:val="0"/>
        <w:suppressAutoHyphens w:val="0"/>
        <w:autoSpaceDE w:val="0"/>
        <w:autoSpaceDN w:val="0"/>
        <w:adjustRightInd w:val="0"/>
        <w:jc w:val="both"/>
        <w:rPr>
          <w:rFonts w:ascii="Times New Roman" w:hAnsi="Times New Roman"/>
          <w:szCs w:val="24"/>
          <w:lang w:val="tr-TR" w:eastAsia="zh-CN"/>
        </w:rPr>
      </w:pPr>
      <w:r w:rsidRPr="00710E72">
        <w:rPr>
          <w:rFonts w:ascii="Times New Roman" w:hAnsi="Times New Roman"/>
          <w:szCs w:val="24"/>
          <w:lang w:val="tr-TR" w:eastAsia="zh-CN"/>
        </w:rPr>
        <w:t xml:space="preserve">YATIRIMCI AD SOYAD : ................................................................................ </w:t>
      </w:r>
    </w:p>
    <w:p w:rsidR="00710E72" w:rsidRPr="00710E72" w:rsidRDefault="00710E72" w:rsidP="00710E72">
      <w:pPr>
        <w:widowControl w:val="0"/>
        <w:suppressAutoHyphens w:val="0"/>
        <w:autoSpaceDE w:val="0"/>
        <w:autoSpaceDN w:val="0"/>
        <w:adjustRightInd w:val="0"/>
        <w:jc w:val="both"/>
        <w:rPr>
          <w:rFonts w:ascii="Times New Roman" w:hAnsi="Times New Roman"/>
          <w:szCs w:val="24"/>
          <w:lang w:val="tr-TR" w:eastAsia="zh-CN"/>
        </w:rPr>
      </w:pPr>
      <w:r w:rsidRPr="00710E72">
        <w:rPr>
          <w:rFonts w:ascii="Times New Roman" w:hAnsi="Times New Roman"/>
          <w:szCs w:val="24"/>
          <w:lang w:val="tr-TR" w:eastAsia="zh-CN"/>
        </w:rPr>
        <w:t xml:space="preserve"> </w:t>
      </w:r>
    </w:p>
    <w:p w:rsidR="00710E72" w:rsidRPr="00710E72" w:rsidRDefault="00710E72" w:rsidP="00710E72">
      <w:pPr>
        <w:widowControl w:val="0"/>
        <w:suppressAutoHyphens w:val="0"/>
        <w:autoSpaceDE w:val="0"/>
        <w:autoSpaceDN w:val="0"/>
        <w:adjustRightInd w:val="0"/>
        <w:jc w:val="both"/>
        <w:rPr>
          <w:rFonts w:ascii="Times New Roman" w:hAnsi="Times New Roman"/>
          <w:szCs w:val="24"/>
          <w:lang w:val="tr-TR" w:eastAsia="zh-CN"/>
        </w:rPr>
      </w:pPr>
      <w:r w:rsidRPr="00710E72">
        <w:rPr>
          <w:rFonts w:ascii="Times New Roman" w:hAnsi="Times New Roman"/>
          <w:szCs w:val="24"/>
          <w:lang w:val="tr-TR" w:eastAsia="zh-CN"/>
        </w:rPr>
        <w:t xml:space="preserve"> </w:t>
      </w:r>
    </w:p>
    <w:tbl>
      <w:tblPr>
        <w:tblStyle w:val="TableGrid"/>
        <w:tblpPr w:leftFromText="141" w:rightFromText="141" w:vertAnchor="text" w:horzAnchor="margin" w:tblpXSpec="center" w:tblpY="91"/>
        <w:tblW w:w="0" w:type="auto"/>
        <w:tblLook w:val="04A0" w:firstRow="1" w:lastRow="0" w:firstColumn="1" w:lastColumn="0" w:noHBand="0" w:noVBand="1"/>
      </w:tblPr>
      <w:tblGrid>
        <w:gridCol w:w="3699"/>
      </w:tblGrid>
      <w:tr w:rsidR="00710E72" w:rsidRPr="00710E72" w:rsidTr="00A63DD4">
        <w:trPr>
          <w:trHeight w:val="267"/>
        </w:trPr>
        <w:tc>
          <w:tcPr>
            <w:tcW w:w="3699" w:type="dxa"/>
          </w:tcPr>
          <w:p w:rsidR="00710E72" w:rsidRPr="00710E72" w:rsidRDefault="00710E72" w:rsidP="00710E72">
            <w:pPr>
              <w:widowControl w:val="0"/>
              <w:suppressAutoHyphens w:val="0"/>
              <w:autoSpaceDE w:val="0"/>
              <w:autoSpaceDN w:val="0"/>
              <w:adjustRightInd w:val="0"/>
              <w:jc w:val="both"/>
              <w:rPr>
                <w:rFonts w:asciiTheme="minorHAnsi" w:hAnsiTheme="minorHAnsi"/>
                <w:szCs w:val="24"/>
                <w:lang w:val="tr-TR" w:eastAsia="tr-TR"/>
              </w:rPr>
            </w:pPr>
          </w:p>
          <w:p w:rsidR="00710E72" w:rsidRPr="00710E72" w:rsidRDefault="00710E72" w:rsidP="00710E72">
            <w:pPr>
              <w:widowControl w:val="0"/>
              <w:suppressAutoHyphens w:val="0"/>
              <w:autoSpaceDE w:val="0"/>
              <w:autoSpaceDN w:val="0"/>
              <w:adjustRightInd w:val="0"/>
              <w:jc w:val="both"/>
              <w:rPr>
                <w:rFonts w:asciiTheme="minorHAnsi" w:hAnsiTheme="minorHAnsi"/>
                <w:szCs w:val="24"/>
                <w:lang w:val="tr-TR" w:eastAsia="tr-TR"/>
              </w:rPr>
            </w:pPr>
          </w:p>
        </w:tc>
      </w:tr>
    </w:tbl>
    <w:p w:rsidR="00710E72" w:rsidRPr="00710E72" w:rsidRDefault="00710E72" w:rsidP="00710E72">
      <w:pPr>
        <w:widowControl w:val="0"/>
        <w:suppressAutoHyphens w:val="0"/>
        <w:autoSpaceDE w:val="0"/>
        <w:autoSpaceDN w:val="0"/>
        <w:adjustRightInd w:val="0"/>
        <w:jc w:val="both"/>
        <w:rPr>
          <w:rFonts w:ascii="Times New Roman" w:hAnsi="Times New Roman"/>
          <w:szCs w:val="24"/>
          <w:lang w:val="tr-TR" w:eastAsia="zh-CN"/>
        </w:rPr>
      </w:pPr>
      <w:r w:rsidRPr="00710E72">
        <w:rPr>
          <w:rFonts w:ascii="Times New Roman" w:hAnsi="Times New Roman"/>
          <w:szCs w:val="24"/>
          <w:lang w:val="tr-TR" w:eastAsia="zh-CN"/>
        </w:rPr>
        <w:t xml:space="preserve"> YATIRIMCI İMZA : </w:t>
      </w:r>
    </w:p>
    <w:p w:rsidR="00710E72" w:rsidRPr="00710E72" w:rsidRDefault="00710E72" w:rsidP="00710E72">
      <w:pPr>
        <w:widowControl w:val="0"/>
        <w:suppressAutoHyphens w:val="0"/>
        <w:autoSpaceDE w:val="0"/>
        <w:autoSpaceDN w:val="0"/>
        <w:adjustRightInd w:val="0"/>
        <w:jc w:val="both"/>
        <w:rPr>
          <w:rFonts w:ascii="Times New Roman" w:hAnsi="Times New Roman"/>
          <w:szCs w:val="24"/>
          <w:lang w:val="tr-TR" w:eastAsia="zh-CN"/>
        </w:rPr>
      </w:pPr>
    </w:p>
    <w:p w:rsidR="00710E72" w:rsidRPr="00710E72" w:rsidRDefault="00710E72" w:rsidP="00710E72">
      <w:pPr>
        <w:widowControl w:val="0"/>
        <w:suppressAutoHyphens w:val="0"/>
        <w:autoSpaceDE w:val="0"/>
        <w:autoSpaceDN w:val="0"/>
        <w:adjustRightInd w:val="0"/>
        <w:jc w:val="both"/>
        <w:rPr>
          <w:rFonts w:ascii="Times New Roman" w:hAnsi="Times New Roman"/>
          <w:szCs w:val="24"/>
          <w:lang w:val="tr-TR" w:eastAsia="zh-CN"/>
        </w:rPr>
      </w:pPr>
      <w:r w:rsidRPr="00710E72">
        <w:rPr>
          <w:rFonts w:ascii="Times New Roman" w:hAnsi="Times New Roman"/>
          <w:szCs w:val="24"/>
          <w:lang w:val="tr-TR" w:eastAsia="zh-CN"/>
        </w:rPr>
        <w:t xml:space="preserve"> </w:t>
      </w:r>
    </w:p>
    <w:p w:rsidR="00710E72" w:rsidRPr="00710E72" w:rsidRDefault="00710E72" w:rsidP="00710E72">
      <w:pPr>
        <w:widowControl w:val="0"/>
        <w:suppressAutoHyphens w:val="0"/>
        <w:autoSpaceDE w:val="0"/>
        <w:autoSpaceDN w:val="0"/>
        <w:adjustRightInd w:val="0"/>
        <w:jc w:val="both"/>
        <w:rPr>
          <w:rFonts w:ascii="Times New Roman" w:hAnsi="Times New Roman"/>
          <w:szCs w:val="24"/>
          <w:lang w:val="tr-TR" w:eastAsia="zh-CN"/>
        </w:rPr>
      </w:pPr>
    </w:p>
    <w:p w:rsidR="00710E72" w:rsidRPr="00710E72" w:rsidRDefault="00710E72" w:rsidP="00710E72">
      <w:pPr>
        <w:widowControl w:val="0"/>
        <w:suppressAutoHyphens w:val="0"/>
        <w:autoSpaceDE w:val="0"/>
        <w:autoSpaceDN w:val="0"/>
        <w:adjustRightInd w:val="0"/>
        <w:jc w:val="both"/>
        <w:rPr>
          <w:rFonts w:ascii="Times New Roman" w:hAnsi="Times New Roman"/>
          <w:szCs w:val="24"/>
          <w:lang w:val="tr-TR" w:eastAsia="zh-CN"/>
        </w:rPr>
      </w:pPr>
      <w:r w:rsidRPr="00710E72">
        <w:rPr>
          <w:rFonts w:ascii="Times New Roman" w:hAnsi="Times New Roman"/>
          <w:szCs w:val="24"/>
          <w:lang w:val="tr-TR" w:eastAsia="zh-CN"/>
        </w:rPr>
        <w:t xml:space="preserve">  TARİH : ...... / ....... / ............</w:t>
      </w:r>
    </w:p>
    <w:p w:rsidR="00710E72" w:rsidRPr="00710E72" w:rsidRDefault="00710E72" w:rsidP="00710E72">
      <w:pPr>
        <w:suppressAutoHyphens w:val="0"/>
        <w:autoSpaceDE w:val="0"/>
        <w:autoSpaceDN w:val="0"/>
        <w:adjustRightInd w:val="0"/>
        <w:ind w:firstLine="691"/>
        <w:jc w:val="both"/>
        <w:rPr>
          <w:rFonts w:ascii="Times New Roman" w:hAnsi="Times New Roman"/>
          <w:b/>
          <w:bCs/>
          <w:color w:val="000000"/>
          <w:szCs w:val="24"/>
          <w:lang w:val="tr-TR" w:eastAsia="tr-TR"/>
        </w:rPr>
      </w:pPr>
    </w:p>
    <w:p w:rsidR="00710E72" w:rsidRPr="00710E72" w:rsidRDefault="00710E72" w:rsidP="00710E72">
      <w:pPr>
        <w:widowControl w:val="0"/>
        <w:suppressAutoHyphens w:val="0"/>
        <w:autoSpaceDE w:val="0"/>
        <w:autoSpaceDN w:val="0"/>
        <w:adjustRightInd w:val="0"/>
        <w:rPr>
          <w:rFonts w:ascii="Times New Roman" w:hAnsi="Times New Roman"/>
          <w:szCs w:val="24"/>
          <w:lang w:val="tr-TR" w:eastAsia="zh-CN"/>
        </w:rPr>
      </w:pPr>
    </w:p>
    <w:p w:rsidR="00710E72" w:rsidRPr="00710E72" w:rsidRDefault="00710E72" w:rsidP="00710E72">
      <w:pPr>
        <w:widowControl w:val="0"/>
        <w:suppressAutoHyphens w:val="0"/>
        <w:autoSpaceDE w:val="0"/>
        <w:autoSpaceDN w:val="0"/>
        <w:adjustRightInd w:val="0"/>
        <w:rPr>
          <w:rFonts w:ascii="Times New Roman" w:hAnsi="Times New Roman"/>
          <w:szCs w:val="24"/>
          <w:lang w:val="tr-TR" w:eastAsia="zh-CN"/>
        </w:rPr>
      </w:pPr>
    </w:p>
    <w:p w:rsidR="00710E72" w:rsidRPr="00710E72" w:rsidRDefault="00710E72" w:rsidP="00710E72">
      <w:pPr>
        <w:suppressAutoHyphens w:val="0"/>
        <w:jc w:val="both"/>
        <w:rPr>
          <w:rFonts w:ascii="Times New Roman" w:hAnsi="Times New Roman"/>
          <w:szCs w:val="24"/>
          <w:lang w:val="tr-TR" w:eastAsia="zh-CN"/>
        </w:rPr>
      </w:pPr>
      <w:r w:rsidRPr="00710E72">
        <w:rPr>
          <w:rFonts w:ascii="Times New Roman" w:hAnsi="Times New Roman"/>
          <w:szCs w:val="24"/>
          <w:lang w:val="tr-TR" w:eastAsia="zh-CN"/>
        </w:rPr>
        <w:t>Not: Bu metin yazılı bildirim yapılması halinde yatırımc</w:t>
      </w:r>
      <w:r w:rsidR="005F4A3A">
        <w:rPr>
          <w:rFonts w:ascii="Times New Roman" w:hAnsi="Times New Roman"/>
          <w:szCs w:val="24"/>
          <w:lang w:val="tr-TR" w:eastAsia="zh-CN"/>
        </w:rPr>
        <w:t>ı tarafından kendi elyazısıyla “okudum, anladım”</w:t>
      </w:r>
      <w:r w:rsidRPr="00710E72">
        <w:rPr>
          <w:rFonts w:ascii="Times New Roman" w:hAnsi="Times New Roman"/>
          <w:szCs w:val="24"/>
          <w:lang w:val="tr-TR" w:eastAsia="zh-CN"/>
        </w:rPr>
        <w:t xml:space="preserve"> ibaresi ile imzalanacaktır.</w:t>
      </w:r>
    </w:p>
    <w:p w:rsidR="00710E72" w:rsidRPr="00710E72" w:rsidRDefault="00710E72" w:rsidP="00710E72">
      <w:pPr>
        <w:widowControl w:val="0"/>
        <w:suppressAutoHyphens w:val="0"/>
        <w:autoSpaceDE w:val="0"/>
        <w:autoSpaceDN w:val="0"/>
        <w:adjustRightInd w:val="0"/>
        <w:rPr>
          <w:rFonts w:ascii="Times New Roman" w:hAnsi="Times New Roman"/>
          <w:szCs w:val="24"/>
          <w:lang w:val="tr-TR" w:eastAsia="zh-CN"/>
        </w:rPr>
      </w:pPr>
    </w:p>
    <w:p w:rsidR="00DD6708" w:rsidRDefault="00DD6708" w:rsidP="00710E72">
      <w:pPr>
        <w:pStyle w:val="Style19"/>
        <w:widowControl/>
      </w:pPr>
    </w:p>
    <w:p w:rsidR="00710E72" w:rsidRPr="00DD6708" w:rsidRDefault="00710E72" w:rsidP="00DD6708">
      <w:pPr>
        <w:pStyle w:val="Style19"/>
        <w:widowControl/>
        <w:jc w:val="center"/>
      </w:pPr>
    </w:p>
    <w:p w:rsidR="00AF642F" w:rsidRPr="00DD6708" w:rsidRDefault="00AF642F" w:rsidP="00DD6708">
      <w:pPr>
        <w:rPr>
          <w:szCs w:val="24"/>
          <w:lang w:val="tr-TR"/>
        </w:rPr>
      </w:pPr>
    </w:p>
    <w:sectPr w:rsidR="00AF642F" w:rsidRPr="00DD670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F4" w:rsidRDefault="00262CF4" w:rsidP="00FC17AA">
      <w:r>
        <w:separator/>
      </w:r>
    </w:p>
  </w:endnote>
  <w:endnote w:type="continuationSeparator" w:id="0">
    <w:p w:rsidR="00262CF4" w:rsidRDefault="00262CF4" w:rsidP="00FC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F4" w:rsidRDefault="00262CF4" w:rsidP="00FC17AA">
      <w:r>
        <w:separator/>
      </w:r>
    </w:p>
  </w:footnote>
  <w:footnote w:type="continuationSeparator" w:id="0">
    <w:p w:rsidR="00262CF4" w:rsidRDefault="00262CF4" w:rsidP="00FC1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AA" w:rsidRPr="00902FAE" w:rsidRDefault="00902FAE">
    <w:pPr>
      <w:pStyle w:val="Header"/>
      <w:rPr>
        <w:rFonts w:ascii="Times New Roman" w:hAnsi="Times New Roman"/>
        <w:sz w:val="20"/>
      </w:rPr>
    </w:pPr>
    <w:r>
      <w:rPr>
        <w:rFonts w:ascii="Times New Roman" w:hAnsi="Times New Roman"/>
        <w:bCs/>
        <w:noProof/>
        <w:sz w:val="20"/>
        <w:lang w:val="tr-TR" w:eastAsia="tr-TR"/>
      </w:rPr>
      <w:drawing>
        <wp:inline distT="0" distB="0" distL="0" distR="0">
          <wp:extent cx="18669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Logo_186x45 16082017.jpg"/>
                  <pic:cNvPicPr/>
                </pic:nvPicPr>
                <pic:blipFill>
                  <a:blip r:embed="rId1">
                    <a:extLst>
                      <a:ext uri="{28A0092B-C50C-407E-A947-70E740481C1C}">
                        <a14:useLocalDpi xmlns:a14="http://schemas.microsoft.com/office/drawing/2010/main" val="0"/>
                      </a:ext>
                    </a:extLst>
                  </a:blip>
                  <a:stretch>
                    <a:fillRect/>
                  </a:stretch>
                </pic:blipFill>
                <pic:spPr>
                  <a:xfrm>
                    <a:off x="0" y="0"/>
                    <a:ext cx="1866900" cy="533400"/>
                  </a:xfrm>
                  <a:prstGeom prst="rect">
                    <a:avLst/>
                  </a:prstGeom>
                </pic:spPr>
              </pic:pic>
            </a:graphicData>
          </a:graphic>
        </wp:inline>
      </w:drawing>
    </w:r>
    <w:r w:rsidR="00FC17AA" w:rsidRPr="006363D1">
      <w:rPr>
        <w:rStyle w:val="PageNumber"/>
        <w:rFonts w:ascii="Times New Roman" w:hAnsi="Times New Roman"/>
        <w:bCs/>
        <w:sz w:val="20"/>
      </w:rPr>
      <w:t xml:space="preserve">                                                                         </w:t>
    </w:r>
    <w:r>
      <w:rPr>
        <w:rStyle w:val="PageNumber"/>
        <w:rFonts w:ascii="Times New Roman" w:hAnsi="Times New Roman"/>
        <w:bCs/>
        <w:sz w:val="20"/>
      </w:rPr>
      <w:t xml:space="preserve">                        </w:t>
    </w:r>
    <w:r w:rsidR="00FC17AA" w:rsidRPr="006363D1">
      <w:rPr>
        <w:rStyle w:val="PageNumber"/>
        <w:rFonts w:ascii="Times New Roman" w:hAnsi="Times New Roman"/>
        <w:bCs/>
        <w:sz w:val="20"/>
      </w:rPr>
      <w:t xml:space="preserve"> </w:t>
    </w:r>
    <w:r w:rsidR="00FC17AA" w:rsidRPr="006363D1">
      <w:rPr>
        <w:rStyle w:val="PageNumber"/>
        <w:rFonts w:ascii="Times New Roman" w:hAnsi="Times New Roman"/>
        <w:sz w:val="20"/>
      </w:rPr>
      <w:t>MK-018-03/00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77165"/>
    <w:multiLevelType w:val="singleLevel"/>
    <w:tmpl w:val="0C2C4616"/>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0"/>
    <w:lvlOverride w:ilvl="0">
      <w:lvl w:ilvl="0">
        <w:start w:val="20"/>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82"/>
    <w:rsid w:val="000C7656"/>
    <w:rsid w:val="00262CF4"/>
    <w:rsid w:val="002B2EC9"/>
    <w:rsid w:val="004C0326"/>
    <w:rsid w:val="00507810"/>
    <w:rsid w:val="005D5F82"/>
    <w:rsid w:val="005F4A3A"/>
    <w:rsid w:val="006363D1"/>
    <w:rsid w:val="00710E72"/>
    <w:rsid w:val="00735FB4"/>
    <w:rsid w:val="007F2604"/>
    <w:rsid w:val="0085509A"/>
    <w:rsid w:val="00902FAE"/>
    <w:rsid w:val="009055C6"/>
    <w:rsid w:val="009636E8"/>
    <w:rsid w:val="00A164DB"/>
    <w:rsid w:val="00AF4D66"/>
    <w:rsid w:val="00AF642F"/>
    <w:rsid w:val="00B341E8"/>
    <w:rsid w:val="00CE1265"/>
    <w:rsid w:val="00DD6708"/>
    <w:rsid w:val="00E331C5"/>
    <w:rsid w:val="00F3113C"/>
    <w:rsid w:val="00F9435A"/>
    <w:rsid w:val="00FC17A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6A230B-BC39-4037-AE9D-59471919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tr-TR"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326"/>
    <w:pPr>
      <w:suppressAutoHyphens/>
    </w:pPr>
    <w:rPr>
      <w:rFonts w:ascii="Arial" w:hAnsi="Arial"/>
      <w:sz w:val="24"/>
      <w:lang w:val="en-AU" w:eastAsia="ar-SA"/>
    </w:rPr>
  </w:style>
  <w:style w:type="paragraph" w:styleId="Heading1">
    <w:name w:val="heading 1"/>
    <w:basedOn w:val="Normal"/>
    <w:next w:val="Normal"/>
    <w:link w:val="Heading1Char"/>
    <w:qFormat/>
    <w:rsid w:val="004C0326"/>
    <w:pPr>
      <w:keepNext/>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594"/>
      <w:jc w:val="both"/>
      <w:outlineLvl w:val="0"/>
    </w:pPr>
    <w:rPr>
      <w:b/>
      <w:lang w:val="tr-TR"/>
    </w:rPr>
  </w:style>
  <w:style w:type="paragraph" w:styleId="Heading2">
    <w:name w:val="heading 2"/>
    <w:basedOn w:val="Normal"/>
    <w:next w:val="Normal"/>
    <w:link w:val="Heading2Char"/>
    <w:qFormat/>
    <w:rsid w:val="004C032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outlineLvl w:val="1"/>
    </w:pPr>
    <w:rPr>
      <w:b/>
      <w:lang w:val="tr-TR"/>
    </w:rPr>
  </w:style>
  <w:style w:type="paragraph" w:styleId="Heading3">
    <w:name w:val="heading 3"/>
    <w:basedOn w:val="Normal"/>
    <w:next w:val="Normal"/>
    <w:link w:val="Heading3Char"/>
    <w:qFormat/>
    <w:rsid w:val="004C0326"/>
    <w:pPr>
      <w:keepNext/>
      <w:tabs>
        <w:tab w:val="num" w:pos="0"/>
      </w:tabs>
      <w:spacing w:line="240" w:lineRule="atLeast"/>
      <w:jc w:val="center"/>
      <w:outlineLvl w:val="2"/>
    </w:pPr>
    <w:rPr>
      <w:lang w:val="tr-TR"/>
    </w:rPr>
  </w:style>
  <w:style w:type="paragraph" w:styleId="Heading4">
    <w:name w:val="heading 4"/>
    <w:basedOn w:val="Normal"/>
    <w:next w:val="Normal"/>
    <w:link w:val="Heading4Char"/>
    <w:uiPriority w:val="9"/>
    <w:qFormat/>
    <w:rsid w:val="004C0326"/>
    <w:pPr>
      <w:keepNext/>
      <w:tabs>
        <w:tab w:val="num" w:pos="0"/>
      </w:tabs>
      <w:spacing w:line="336" w:lineRule="atLeast"/>
      <w:jc w:val="center"/>
      <w:outlineLvl w:val="3"/>
    </w:pPr>
    <w:rPr>
      <w:rFonts w:ascii="Times New Roman" w:hAnsi="Times New Roman"/>
      <w:b/>
      <w:lang w:val="tr-TR"/>
    </w:rPr>
  </w:style>
  <w:style w:type="paragraph" w:styleId="Heading5">
    <w:name w:val="heading 5"/>
    <w:basedOn w:val="Normal"/>
    <w:next w:val="Normal"/>
    <w:link w:val="Heading5Char"/>
    <w:uiPriority w:val="9"/>
    <w:qFormat/>
    <w:rsid w:val="004C0326"/>
    <w:pPr>
      <w:keepNext/>
      <w:tabs>
        <w:tab w:val="num" w:pos="0"/>
      </w:tabs>
      <w:spacing w:line="336" w:lineRule="atLeast"/>
      <w:ind w:right="141"/>
      <w:jc w:val="center"/>
      <w:outlineLvl w:val="4"/>
    </w:pPr>
    <w:rPr>
      <w:rFonts w:ascii="Times New Roman" w:hAnsi="Times New Roman"/>
      <w:b/>
      <w:lang w:val="tr-TR"/>
    </w:rPr>
  </w:style>
  <w:style w:type="paragraph" w:styleId="Heading6">
    <w:name w:val="heading 6"/>
    <w:basedOn w:val="Normal"/>
    <w:next w:val="Normal"/>
    <w:link w:val="Heading6Char"/>
    <w:qFormat/>
    <w:rsid w:val="004C0326"/>
    <w:pPr>
      <w:keepNext/>
      <w:tabs>
        <w:tab w:val="num" w:pos="0"/>
      </w:tabs>
      <w:spacing w:line="336" w:lineRule="atLeast"/>
      <w:ind w:right="141"/>
      <w:jc w:val="center"/>
      <w:outlineLvl w:val="5"/>
    </w:pPr>
    <w:rPr>
      <w:rFonts w:ascii="Times New Roman" w:hAnsi="Times New Roman"/>
      <w:b/>
      <w:u w:val="single"/>
      <w:lang w:val="tr-TR"/>
    </w:rPr>
  </w:style>
  <w:style w:type="paragraph" w:styleId="Heading7">
    <w:name w:val="heading 7"/>
    <w:basedOn w:val="Normal"/>
    <w:next w:val="Normal"/>
    <w:link w:val="Heading7Char"/>
    <w:qFormat/>
    <w:rsid w:val="004C0326"/>
    <w:pPr>
      <w:keepNext/>
      <w:tabs>
        <w:tab w:val="num" w:pos="0"/>
      </w:tabs>
      <w:jc w:val="center"/>
      <w:outlineLvl w:val="6"/>
    </w:pPr>
    <w:rPr>
      <w:b/>
      <w:sz w:val="22"/>
      <w:lang w:val="tr-TR"/>
    </w:rPr>
  </w:style>
  <w:style w:type="paragraph" w:styleId="Heading8">
    <w:name w:val="heading 8"/>
    <w:basedOn w:val="Normal"/>
    <w:next w:val="Normal"/>
    <w:link w:val="Heading8Char"/>
    <w:uiPriority w:val="9"/>
    <w:qFormat/>
    <w:rsid w:val="004C0326"/>
    <w:pPr>
      <w:keepNext/>
      <w:tabs>
        <w:tab w:val="num" w:pos="0"/>
      </w:tabs>
      <w:spacing w:line="336" w:lineRule="atLeast"/>
      <w:ind w:right="141"/>
      <w:jc w:val="center"/>
      <w:outlineLvl w:val="7"/>
    </w:pPr>
    <w:rPr>
      <w:rFonts w:ascii="Times New Roman" w:hAnsi="Times New Roman"/>
      <w:lang w:val="tr-TR"/>
    </w:rPr>
  </w:style>
  <w:style w:type="paragraph" w:styleId="Heading9">
    <w:name w:val="heading 9"/>
    <w:basedOn w:val="Normal"/>
    <w:next w:val="Normal"/>
    <w:link w:val="Heading9Char"/>
    <w:qFormat/>
    <w:rsid w:val="004C0326"/>
    <w:pPr>
      <w:keepNext/>
      <w:tabs>
        <w:tab w:val="num" w:pos="0"/>
      </w:tabs>
      <w:spacing w:line="240" w:lineRule="atLeast"/>
      <w:jc w:val="center"/>
      <w:outlineLvl w:val="8"/>
    </w:pPr>
    <w:rPr>
      <w:b/>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326"/>
    <w:rPr>
      <w:rFonts w:ascii="Arial" w:hAnsi="Arial"/>
      <w:b/>
      <w:sz w:val="24"/>
      <w:lang w:eastAsia="ar-SA"/>
    </w:rPr>
  </w:style>
  <w:style w:type="character" w:customStyle="1" w:styleId="Heading2Char">
    <w:name w:val="Heading 2 Char"/>
    <w:basedOn w:val="DefaultParagraphFont"/>
    <w:link w:val="Heading2"/>
    <w:rsid w:val="004C0326"/>
    <w:rPr>
      <w:rFonts w:ascii="Arial" w:hAnsi="Arial"/>
      <w:b/>
      <w:sz w:val="24"/>
      <w:lang w:eastAsia="ar-SA"/>
    </w:rPr>
  </w:style>
  <w:style w:type="character" w:customStyle="1" w:styleId="Heading3Char">
    <w:name w:val="Heading 3 Char"/>
    <w:basedOn w:val="DefaultParagraphFont"/>
    <w:link w:val="Heading3"/>
    <w:rsid w:val="004C0326"/>
    <w:rPr>
      <w:rFonts w:ascii="Arial" w:hAnsi="Arial"/>
      <w:sz w:val="24"/>
      <w:lang w:eastAsia="ar-SA"/>
    </w:rPr>
  </w:style>
  <w:style w:type="character" w:customStyle="1" w:styleId="Heading4Char">
    <w:name w:val="Heading 4 Char"/>
    <w:link w:val="Heading4"/>
    <w:uiPriority w:val="9"/>
    <w:rsid w:val="004C0326"/>
    <w:rPr>
      <w:b/>
      <w:sz w:val="24"/>
      <w:lang w:eastAsia="ar-SA"/>
    </w:rPr>
  </w:style>
  <w:style w:type="character" w:customStyle="1" w:styleId="Heading5Char">
    <w:name w:val="Heading 5 Char"/>
    <w:link w:val="Heading5"/>
    <w:uiPriority w:val="9"/>
    <w:rsid w:val="004C0326"/>
    <w:rPr>
      <w:b/>
      <w:sz w:val="24"/>
      <w:lang w:eastAsia="ar-SA"/>
    </w:rPr>
  </w:style>
  <w:style w:type="character" w:customStyle="1" w:styleId="Heading6Char">
    <w:name w:val="Heading 6 Char"/>
    <w:basedOn w:val="DefaultParagraphFont"/>
    <w:link w:val="Heading6"/>
    <w:rsid w:val="004C0326"/>
    <w:rPr>
      <w:b/>
      <w:sz w:val="24"/>
      <w:u w:val="single"/>
      <w:lang w:eastAsia="ar-SA"/>
    </w:rPr>
  </w:style>
  <w:style w:type="character" w:customStyle="1" w:styleId="Heading7Char">
    <w:name w:val="Heading 7 Char"/>
    <w:basedOn w:val="DefaultParagraphFont"/>
    <w:link w:val="Heading7"/>
    <w:rsid w:val="004C0326"/>
    <w:rPr>
      <w:rFonts w:ascii="Arial" w:hAnsi="Arial"/>
      <w:b/>
      <w:sz w:val="22"/>
      <w:lang w:eastAsia="ar-SA"/>
    </w:rPr>
  </w:style>
  <w:style w:type="character" w:customStyle="1" w:styleId="Heading8Char">
    <w:name w:val="Heading 8 Char"/>
    <w:link w:val="Heading8"/>
    <w:uiPriority w:val="9"/>
    <w:rsid w:val="004C0326"/>
    <w:rPr>
      <w:sz w:val="24"/>
      <w:lang w:eastAsia="ar-SA"/>
    </w:rPr>
  </w:style>
  <w:style w:type="character" w:customStyle="1" w:styleId="Heading9Char">
    <w:name w:val="Heading 9 Char"/>
    <w:basedOn w:val="DefaultParagraphFont"/>
    <w:link w:val="Heading9"/>
    <w:rsid w:val="004C0326"/>
    <w:rPr>
      <w:rFonts w:ascii="Arial" w:hAnsi="Arial"/>
      <w:b/>
      <w:sz w:val="24"/>
      <w:lang w:eastAsia="ar-SA"/>
    </w:rPr>
  </w:style>
  <w:style w:type="paragraph" w:styleId="NoSpacing">
    <w:name w:val="No Spacing"/>
    <w:uiPriority w:val="1"/>
    <w:qFormat/>
    <w:rsid w:val="004C0326"/>
    <w:rPr>
      <w:rFonts w:ascii="Calibri" w:eastAsia="SimSun" w:hAnsi="Calibri"/>
      <w:sz w:val="22"/>
      <w:szCs w:val="22"/>
    </w:rPr>
  </w:style>
  <w:style w:type="paragraph" w:styleId="ListParagraph">
    <w:name w:val="List Paragraph"/>
    <w:basedOn w:val="Normal"/>
    <w:uiPriority w:val="34"/>
    <w:qFormat/>
    <w:rsid w:val="004C0326"/>
    <w:pPr>
      <w:suppressAutoHyphens w:val="0"/>
      <w:ind w:left="708"/>
    </w:pPr>
    <w:rPr>
      <w:rFonts w:ascii="Times New Roman" w:hAnsi="Times New Roman"/>
      <w:sz w:val="20"/>
      <w:lang w:eastAsia="tr-TR"/>
    </w:rPr>
  </w:style>
  <w:style w:type="paragraph" w:styleId="TOCHeading">
    <w:name w:val="TOC Heading"/>
    <w:basedOn w:val="Heading1"/>
    <w:next w:val="Normal"/>
    <w:uiPriority w:val="39"/>
    <w:semiHidden/>
    <w:unhideWhenUsed/>
    <w:qFormat/>
    <w:rsid w:val="004C0326"/>
    <w:pPr>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spacing w:before="480" w:line="276" w:lineRule="auto"/>
      <w:ind w:right="0"/>
      <w:jc w:val="left"/>
      <w:outlineLvl w:val="9"/>
    </w:pPr>
    <w:rPr>
      <w:rFonts w:ascii="Cambria" w:eastAsia="MS Gothic" w:hAnsi="Cambria"/>
      <w:bCs/>
      <w:color w:val="365F91"/>
      <w:sz w:val="28"/>
      <w:szCs w:val="28"/>
      <w:lang w:val="en-US" w:eastAsia="ja-JP"/>
    </w:rPr>
  </w:style>
  <w:style w:type="paragraph" w:customStyle="1" w:styleId="Style7">
    <w:name w:val="Style7"/>
    <w:basedOn w:val="Normal"/>
    <w:uiPriority w:val="99"/>
    <w:rsid w:val="00DD6708"/>
    <w:pPr>
      <w:widowControl w:val="0"/>
      <w:suppressAutoHyphens w:val="0"/>
      <w:autoSpaceDE w:val="0"/>
      <w:autoSpaceDN w:val="0"/>
      <w:adjustRightInd w:val="0"/>
      <w:jc w:val="center"/>
    </w:pPr>
    <w:rPr>
      <w:rFonts w:ascii="Times New Roman" w:hAnsi="Times New Roman"/>
      <w:szCs w:val="24"/>
      <w:lang w:val="tr-TR" w:eastAsia="zh-CN"/>
    </w:rPr>
  </w:style>
  <w:style w:type="paragraph" w:customStyle="1" w:styleId="Style13">
    <w:name w:val="Style13"/>
    <w:basedOn w:val="Normal"/>
    <w:uiPriority w:val="99"/>
    <w:rsid w:val="00DD6708"/>
    <w:pPr>
      <w:widowControl w:val="0"/>
      <w:suppressAutoHyphens w:val="0"/>
      <w:autoSpaceDE w:val="0"/>
      <w:autoSpaceDN w:val="0"/>
      <w:adjustRightInd w:val="0"/>
      <w:spacing w:line="209" w:lineRule="exact"/>
      <w:jc w:val="both"/>
    </w:pPr>
    <w:rPr>
      <w:rFonts w:ascii="Times New Roman" w:hAnsi="Times New Roman"/>
      <w:szCs w:val="24"/>
      <w:lang w:val="tr-TR" w:eastAsia="zh-CN"/>
    </w:rPr>
  </w:style>
  <w:style w:type="paragraph" w:customStyle="1" w:styleId="Style15">
    <w:name w:val="Style15"/>
    <w:basedOn w:val="Normal"/>
    <w:uiPriority w:val="99"/>
    <w:rsid w:val="00DD6708"/>
    <w:pPr>
      <w:widowControl w:val="0"/>
      <w:suppressAutoHyphens w:val="0"/>
      <w:autoSpaceDE w:val="0"/>
      <w:autoSpaceDN w:val="0"/>
      <w:adjustRightInd w:val="0"/>
      <w:spacing w:line="206" w:lineRule="exact"/>
      <w:jc w:val="both"/>
    </w:pPr>
    <w:rPr>
      <w:rFonts w:ascii="Times New Roman" w:hAnsi="Times New Roman"/>
      <w:szCs w:val="24"/>
      <w:lang w:val="tr-TR" w:eastAsia="zh-CN"/>
    </w:rPr>
  </w:style>
  <w:style w:type="paragraph" w:customStyle="1" w:styleId="Style19">
    <w:name w:val="Style19"/>
    <w:basedOn w:val="Normal"/>
    <w:uiPriority w:val="99"/>
    <w:rsid w:val="00DD6708"/>
    <w:pPr>
      <w:widowControl w:val="0"/>
      <w:suppressAutoHyphens w:val="0"/>
      <w:autoSpaceDE w:val="0"/>
      <w:autoSpaceDN w:val="0"/>
      <w:adjustRightInd w:val="0"/>
      <w:jc w:val="both"/>
    </w:pPr>
    <w:rPr>
      <w:rFonts w:ascii="Times New Roman" w:hAnsi="Times New Roman"/>
      <w:szCs w:val="24"/>
      <w:lang w:val="tr-TR" w:eastAsia="zh-CN"/>
    </w:rPr>
  </w:style>
  <w:style w:type="paragraph" w:customStyle="1" w:styleId="Style20">
    <w:name w:val="Style20"/>
    <w:basedOn w:val="Normal"/>
    <w:uiPriority w:val="99"/>
    <w:rsid w:val="00DD6708"/>
    <w:pPr>
      <w:widowControl w:val="0"/>
      <w:suppressAutoHyphens w:val="0"/>
      <w:autoSpaceDE w:val="0"/>
      <w:autoSpaceDN w:val="0"/>
      <w:adjustRightInd w:val="0"/>
      <w:spacing w:line="185" w:lineRule="exact"/>
      <w:ind w:hanging="350"/>
      <w:jc w:val="both"/>
    </w:pPr>
    <w:rPr>
      <w:rFonts w:ascii="Times New Roman" w:hAnsi="Times New Roman"/>
      <w:szCs w:val="24"/>
      <w:lang w:val="tr-TR" w:eastAsia="zh-CN"/>
    </w:rPr>
  </w:style>
  <w:style w:type="character" w:customStyle="1" w:styleId="FontStyle27">
    <w:name w:val="Font Style27"/>
    <w:basedOn w:val="DefaultParagraphFont"/>
    <w:uiPriority w:val="99"/>
    <w:rsid w:val="00DD6708"/>
    <w:rPr>
      <w:rFonts w:ascii="Times New Roman" w:hAnsi="Times New Roman" w:cs="Times New Roman"/>
      <w:b/>
      <w:bCs/>
      <w:color w:val="000000"/>
      <w:sz w:val="16"/>
      <w:szCs w:val="16"/>
    </w:rPr>
  </w:style>
  <w:style w:type="character" w:customStyle="1" w:styleId="FontStyle29">
    <w:name w:val="Font Style29"/>
    <w:basedOn w:val="DefaultParagraphFont"/>
    <w:uiPriority w:val="99"/>
    <w:rsid w:val="00DD6708"/>
    <w:rPr>
      <w:rFonts w:ascii="Times New Roman" w:hAnsi="Times New Roman" w:cs="Times New Roman"/>
      <w:b/>
      <w:bCs/>
      <w:color w:val="000000"/>
      <w:sz w:val="14"/>
      <w:szCs w:val="14"/>
    </w:rPr>
  </w:style>
  <w:style w:type="character" w:customStyle="1" w:styleId="FontStyle30">
    <w:name w:val="Font Style30"/>
    <w:basedOn w:val="DefaultParagraphFont"/>
    <w:uiPriority w:val="99"/>
    <w:rsid w:val="00DD6708"/>
    <w:rPr>
      <w:rFonts w:ascii="Times New Roman" w:hAnsi="Times New Roman" w:cs="Times New Roman"/>
      <w:color w:val="000000"/>
      <w:sz w:val="14"/>
      <w:szCs w:val="14"/>
    </w:rPr>
  </w:style>
  <w:style w:type="table" w:styleId="TableGrid">
    <w:name w:val="Table Grid"/>
    <w:basedOn w:val="TableNormal"/>
    <w:uiPriority w:val="59"/>
    <w:rsid w:val="00710E72"/>
    <w:rPr>
      <w:rFonts w:asciiTheme="minorHAnsi" w:hAnsiTheme="minorHAnsi" w:cstheme="minorBidi"/>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C17AA"/>
    <w:pPr>
      <w:tabs>
        <w:tab w:val="center" w:pos="4536"/>
        <w:tab w:val="right" w:pos="9072"/>
      </w:tabs>
    </w:pPr>
  </w:style>
  <w:style w:type="character" w:customStyle="1" w:styleId="HeaderChar">
    <w:name w:val="Header Char"/>
    <w:basedOn w:val="DefaultParagraphFont"/>
    <w:link w:val="Header"/>
    <w:rsid w:val="00FC17AA"/>
    <w:rPr>
      <w:rFonts w:ascii="Arial" w:hAnsi="Arial"/>
      <w:sz w:val="24"/>
      <w:lang w:val="en-AU" w:eastAsia="ar-SA"/>
    </w:rPr>
  </w:style>
  <w:style w:type="paragraph" w:styleId="Footer">
    <w:name w:val="footer"/>
    <w:basedOn w:val="Normal"/>
    <w:link w:val="FooterChar"/>
    <w:uiPriority w:val="99"/>
    <w:unhideWhenUsed/>
    <w:rsid w:val="00FC17AA"/>
    <w:pPr>
      <w:tabs>
        <w:tab w:val="center" w:pos="4536"/>
        <w:tab w:val="right" w:pos="9072"/>
      </w:tabs>
    </w:pPr>
  </w:style>
  <w:style w:type="character" w:customStyle="1" w:styleId="FooterChar">
    <w:name w:val="Footer Char"/>
    <w:basedOn w:val="DefaultParagraphFont"/>
    <w:link w:val="Footer"/>
    <w:uiPriority w:val="99"/>
    <w:rsid w:val="00FC17AA"/>
    <w:rPr>
      <w:rFonts w:ascii="Arial" w:hAnsi="Arial"/>
      <w:sz w:val="24"/>
      <w:lang w:val="en-AU" w:eastAsia="ar-SA"/>
    </w:rPr>
  </w:style>
  <w:style w:type="character" w:styleId="PageNumber">
    <w:name w:val="page number"/>
    <w:rsid w:val="00FC17AA"/>
    <w:rPr>
      <w:rFonts w:cs="Times New Roman"/>
    </w:rPr>
  </w:style>
  <w:style w:type="paragraph" w:styleId="BalloonText">
    <w:name w:val="Balloon Text"/>
    <w:basedOn w:val="Normal"/>
    <w:link w:val="BalloonTextChar"/>
    <w:uiPriority w:val="99"/>
    <w:semiHidden/>
    <w:unhideWhenUsed/>
    <w:rsid w:val="00FC17AA"/>
    <w:rPr>
      <w:rFonts w:ascii="Tahoma" w:hAnsi="Tahoma" w:cs="Tahoma"/>
      <w:sz w:val="16"/>
      <w:szCs w:val="16"/>
    </w:rPr>
  </w:style>
  <w:style w:type="character" w:customStyle="1" w:styleId="BalloonTextChar">
    <w:name w:val="Balloon Text Char"/>
    <w:basedOn w:val="DefaultParagraphFont"/>
    <w:link w:val="BalloonText"/>
    <w:uiPriority w:val="99"/>
    <w:semiHidden/>
    <w:rsid w:val="00FC17AA"/>
    <w:rPr>
      <w:rFonts w:ascii="Tahoma" w:hAnsi="Tahoma" w:cs="Tahoma"/>
      <w:sz w:val="16"/>
      <w:szCs w:val="16"/>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Alternatifbank AS.</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BSB04356</cp:lastModifiedBy>
  <cp:revision>2</cp:revision>
  <dcterms:created xsi:type="dcterms:W3CDTF">2019-12-26T11:17:00Z</dcterms:created>
  <dcterms:modified xsi:type="dcterms:W3CDTF">2019-12-26T11:17:00Z</dcterms:modified>
</cp:coreProperties>
</file>